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6"/>
        <w:spacing w:before="240" w:after="360" w:line="240" w:lineRule="auto"/>
        <w:jc w:val="center"/>
        <w:outlineLvl w:val="0"/>
        <w:rPr>
          <w:rFonts w:ascii="微软雅黑" w:hAnsi="微软雅黑" w:eastAsia="微软雅黑" w:cs="微软雅黑"/>
          <w:caps w:val="0"/>
          <w:lang w:eastAsia="zh-CN"/>
        </w:rPr>
      </w:pPr>
      <w:bookmarkStart w:id="0" w:name="_Hlk90391221"/>
      <w:bookmarkStart w:id="1" w:name="_Hlk90391279"/>
      <w:r>
        <w:rPr>
          <w:rFonts w:hint="eastAsia" w:ascii="微软雅黑" w:hAnsi="微软雅黑" w:eastAsia="微软雅黑" w:cs="微软雅黑"/>
          <w:caps w:val="0"/>
          <w:lang w:eastAsia="zh-CN"/>
        </w:rPr>
        <w:t>全球基本观测网（</w:t>
      </w:r>
      <w:r>
        <w:rPr>
          <w:rFonts w:hint="eastAsia"/>
          <w:caps w:val="0"/>
          <w:lang w:eastAsia="zh-CN"/>
        </w:rPr>
        <w:t>GBON</w:t>
      </w:r>
      <w:r>
        <w:rPr>
          <w:rFonts w:hint="eastAsia" w:ascii="微软雅黑" w:hAnsi="微软雅黑" w:eastAsia="微软雅黑" w:cs="微软雅黑"/>
          <w:caps w:val="0"/>
          <w:lang w:eastAsia="zh-CN"/>
        </w:rPr>
        <w:t>）</w:t>
      </w:r>
    </w:p>
    <w:p>
      <w:pPr>
        <w:pStyle w:val="115"/>
        <w:spacing w:before="360" w:after="240" w:line="240" w:lineRule="auto"/>
        <w:outlineLvl w:val="1"/>
        <w:rPr>
          <w:sz w:val="24"/>
          <w:szCs w:val="24"/>
          <w:lang w:eastAsia="zh-CN"/>
        </w:rPr>
      </w:pPr>
      <w:bookmarkStart w:id="2" w:name="_Hlk115344512"/>
      <w:r>
        <w:rPr>
          <w:sz w:val="24"/>
          <w:szCs w:val="24"/>
          <w:lang w:eastAsia="zh-CN"/>
        </w:rPr>
        <w:t>1</w:t>
      </w:r>
      <w:bookmarkEnd w:id="2"/>
      <w:r>
        <w:rPr>
          <w:sz w:val="24"/>
          <w:szCs w:val="24"/>
          <w:lang w:eastAsia="zh-CN"/>
        </w:rPr>
        <w:t xml:space="preserve">. </w:t>
      </w:r>
      <w:r>
        <w:rPr>
          <w:sz w:val="24"/>
          <w:szCs w:val="24"/>
          <w:lang w:eastAsia="zh-CN"/>
        </w:rPr>
        <w:tab/>
      </w:r>
      <w:r>
        <w:rPr>
          <w:rFonts w:hint="eastAsia" w:ascii="微软雅黑" w:hAnsi="微软雅黑" w:eastAsia="微软雅黑" w:cs="微软雅黑"/>
          <w:sz w:val="24"/>
          <w:szCs w:val="24"/>
          <w:lang w:eastAsia="zh-CN"/>
        </w:rPr>
        <w:t>导言</w:t>
      </w:r>
    </w:p>
    <w:p>
      <w:pPr>
        <w:pStyle w:val="2"/>
        <w:spacing w:before="240" w:after="0"/>
        <w:rPr>
          <w:rFonts w:ascii="宋体" w:hAnsi="宋体" w:eastAsia="宋体" w:cs="宋体"/>
          <w:lang w:eastAsia="zh-CN"/>
        </w:rPr>
      </w:pPr>
      <w:r>
        <w:rPr>
          <w:rFonts w:hint="eastAsia"/>
          <w:lang w:eastAsia="zh-CN"/>
        </w:rPr>
        <w:t>WMO</w:t>
      </w:r>
      <w:r>
        <w:rPr>
          <w:rFonts w:hint="eastAsia" w:ascii="宋体" w:hAnsi="宋体" w:eastAsia="宋体" w:cs="宋体"/>
          <w:lang w:eastAsia="zh-CN"/>
        </w:rPr>
        <w:t>全球基本观测网（</w:t>
      </w:r>
      <w:r>
        <w:rPr>
          <w:rFonts w:eastAsia="宋体" w:cs="Verdana"/>
          <w:lang w:eastAsia="zh-CN"/>
        </w:rPr>
        <w:t>GBON</w:t>
      </w:r>
      <w:r>
        <w:rPr>
          <w:rFonts w:hint="eastAsia" w:ascii="宋体" w:hAnsi="宋体" w:eastAsia="宋体" w:cs="宋体"/>
          <w:lang w:eastAsia="zh-CN"/>
        </w:rPr>
        <w:t>）是</w:t>
      </w:r>
      <w:r>
        <w:rPr>
          <w:rFonts w:eastAsia="宋体" w:cs="Verdana"/>
          <w:lang w:eastAsia="zh-CN"/>
        </w:rPr>
        <w:t>WMO</w:t>
      </w:r>
      <w:r>
        <w:rPr>
          <w:rFonts w:hint="eastAsia" w:ascii="宋体" w:hAnsi="宋体" w:eastAsia="宋体" w:cs="宋体"/>
          <w:lang w:eastAsia="zh-CN"/>
        </w:rPr>
        <w:t>全球综合观测系统（</w:t>
      </w:r>
      <w:r>
        <w:rPr>
          <w:rFonts w:eastAsia="宋体" w:cs="Verdana"/>
          <w:lang w:eastAsia="zh-CN"/>
        </w:rPr>
        <w:t>WIGOS</w:t>
      </w:r>
      <w:r>
        <w:rPr>
          <w:rFonts w:hint="eastAsia" w:ascii="宋体" w:hAnsi="宋体" w:eastAsia="宋体" w:cs="宋体"/>
          <w:lang w:eastAsia="zh-CN"/>
        </w:rPr>
        <w:t>）地</w:t>
      </w:r>
      <w:r>
        <w:rPr>
          <w:rFonts w:hint="eastAsia" w:ascii="宋体" w:hAnsi="宋体" w:eastAsia="宋体" w:cs="宋体"/>
          <w:lang w:val="en-US" w:eastAsia="zh-CN"/>
        </w:rPr>
        <w:t>基</w:t>
      </w:r>
      <w:r>
        <w:rPr>
          <w:rFonts w:hint="eastAsia" w:ascii="宋体" w:hAnsi="宋体" w:eastAsia="宋体" w:cs="宋体"/>
          <w:lang w:eastAsia="zh-CN"/>
        </w:rPr>
        <w:t>子系统的一个子集，与</w:t>
      </w:r>
      <w:r>
        <w:rPr>
          <w:rFonts w:eastAsia="宋体" w:cs="Verdana"/>
          <w:lang w:eastAsia="zh-CN"/>
        </w:rPr>
        <w:t>WIGOS</w:t>
      </w:r>
      <w:r>
        <w:rPr>
          <w:rFonts w:hint="eastAsia" w:ascii="宋体" w:hAnsi="宋体" w:eastAsia="宋体" w:cs="宋体"/>
          <w:lang w:eastAsia="zh-CN"/>
        </w:rPr>
        <w:t>的空</w:t>
      </w:r>
      <w:r>
        <w:rPr>
          <w:rFonts w:hint="eastAsia" w:ascii="宋体" w:hAnsi="宋体" w:eastAsia="宋体" w:cs="宋体"/>
          <w:lang w:val="en-US" w:eastAsia="zh-CN"/>
        </w:rPr>
        <w:t>基</w:t>
      </w:r>
      <w:r>
        <w:rPr>
          <w:rFonts w:hint="eastAsia" w:ascii="宋体" w:hAnsi="宋体" w:eastAsia="宋体" w:cs="宋体"/>
          <w:lang w:eastAsia="zh-CN"/>
        </w:rPr>
        <w:t>子系统和其他地</w:t>
      </w:r>
      <w:r>
        <w:rPr>
          <w:rFonts w:hint="eastAsia" w:ascii="宋体" w:hAnsi="宋体" w:eastAsia="宋体" w:cs="宋体"/>
          <w:lang w:val="en-US" w:eastAsia="zh-CN"/>
        </w:rPr>
        <w:t>基</w:t>
      </w:r>
      <w:r>
        <w:rPr>
          <w:rFonts w:hint="eastAsia" w:ascii="宋体" w:hAnsi="宋体" w:eastAsia="宋体" w:cs="宋体"/>
          <w:lang w:eastAsia="zh-CN"/>
        </w:rPr>
        <w:t>观测系统</w:t>
      </w:r>
      <w:r>
        <w:rPr>
          <w:rFonts w:hint="eastAsia" w:ascii="宋体" w:hAnsi="宋体" w:eastAsia="宋体" w:cs="宋体"/>
          <w:lang w:val="en-US" w:eastAsia="zh-CN"/>
        </w:rPr>
        <w:t>配合</w:t>
      </w:r>
      <w:r>
        <w:rPr>
          <w:rFonts w:hint="eastAsia" w:ascii="宋体" w:hAnsi="宋体" w:eastAsia="宋体" w:cs="宋体"/>
          <w:lang w:eastAsia="zh-CN"/>
        </w:rPr>
        <w:t>使用，以</w:t>
      </w:r>
      <w:r>
        <w:rPr>
          <w:rFonts w:hint="eastAsia" w:ascii="宋体" w:hAnsi="宋体" w:eastAsia="宋体" w:cs="宋体"/>
          <w:lang w:val="en-US" w:eastAsia="zh-CN"/>
        </w:rPr>
        <w:t>促进</w:t>
      </w:r>
      <w:r>
        <w:rPr>
          <w:rFonts w:hint="eastAsia" w:ascii="宋体" w:hAnsi="宋体" w:eastAsia="宋体" w:cs="宋体"/>
          <w:lang w:eastAsia="zh-CN"/>
        </w:rPr>
        <w:t>满足全球数值天气预报（</w:t>
      </w:r>
      <w:r>
        <w:rPr>
          <w:rFonts w:eastAsia="宋体" w:cs="Verdana"/>
          <w:lang w:eastAsia="zh-CN"/>
        </w:rPr>
        <w:t>NWP</w:t>
      </w:r>
      <w:r>
        <w:rPr>
          <w:rFonts w:hint="eastAsia" w:ascii="宋体" w:hAnsi="宋体" w:eastAsia="宋体" w:cs="宋体"/>
          <w:lang w:eastAsia="zh-CN"/>
        </w:rPr>
        <w:t>）的要求，包括支持气候监测的再分析。</w:t>
      </w:r>
    </w:p>
    <w:p>
      <w:pPr>
        <w:pStyle w:val="2"/>
        <w:spacing w:before="240" w:after="0"/>
        <w:rPr>
          <w:rFonts w:ascii="宋体" w:hAnsi="宋体" w:eastAsia="宋体" w:cs="宋体"/>
          <w:lang w:eastAsia="zh-CN"/>
        </w:rPr>
      </w:pPr>
      <w:r>
        <w:rPr>
          <w:rFonts w:hint="eastAsia" w:ascii="宋体" w:hAnsi="宋体" w:eastAsia="宋体" w:cs="宋体"/>
          <w:lang w:eastAsia="zh-CN"/>
        </w:rPr>
        <w:t>在过去的几十年里，</w:t>
      </w:r>
      <w:r>
        <w:rPr>
          <w:rFonts w:hint="eastAsia"/>
          <w:lang w:eastAsia="zh-CN"/>
        </w:rPr>
        <w:t>NWP</w:t>
      </w:r>
      <w:r>
        <w:rPr>
          <w:rFonts w:hint="eastAsia" w:ascii="宋体" w:hAnsi="宋体" w:eastAsia="宋体" w:cs="宋体"/>
          <w:lang w:eastAsia="zh-CN"/>
        </w:rPr>
        <w:t>已经成为大小国家所有天气和气候服务的共同基础。</w:t>
      </w:r>
    </w:p>
    <w:p>
      <w:pPr>
        <w:pStyle w:val="2"/>
        <w:spacing w:before="240" w:after="0"/>
        <w:rPr>
          <w:rFonts w:ascii="宋体" w:hAnsi="宋体" w:eastAsia="宋体" w:cs="宋体"/>
          <w:lang w:eastAsia="zh-CN"/>
        </w:rPr>
      </w:pPr>
      <w:r>
        <w:rPr>
          <w:rFonts w:hint="eastAsia" w:ascii="宋体" w:hAnsi="宋体" w:eastAsia="宋体" w:cs="宋体"/>
          <w:lang w:eastAsia="zh-CN"/>
        </w:rPr>
        <w:t>因此，各会员越来越依赖全球和区域模拟和预测中心提供的模拟数据产品，以便为其服务对象制作和提供服务。然而，这些中心和产品反过来又完全依赖全球各地</w:t>
      </w:r>
      <w:r>
        <w:rPr>
          <w:rFonts w:hint="eastAsia" w:ascii="宋体" w:hAnsi="宋体" w:eastAsia="宋体" w:cs="宋体"/>
          <w:lang w:val="en-US" w:eastAsia="zh-CN"/>
        </w:rPr>
        <w:t>持续</w:t>
      </w:r>
      <w:r>
        <w:rPr>
          <w:rFonts w:hint="eastAsia" w:ascii="宋体" w:hAnsi="宋体" w:eastAsia="宋体" w:cs="宋体"/>
          <w:lang w:eastAsia="zh-CN"/>
        </w:rPr>
        <w:t>提供的可靠观测</w:t>
      </w:r>
      <w:r>
        <w:rPr>
          <w:rFonts w:hint="eastAsia" w:ascii="宋体" w:hAnsi="宋体" w:eastAsia="宋体" w:cs="宋体"/>
          <w:lang w:val="en-US" w:eastAsia="zh-CN"/>
        </w:rPr>
        <w:t>数据</w:t>
      </w:r>
      <w:r>
        <w:rPr>
          <w:rFonts w:hint="eastAsia" w:ascii="宋体" w:hAnsi="宋体" w:eastAsia="宋体" w:cs="宋体"/>
          <w:lang w:eastAsia="zh-CN"/>
        </w:rPr>
        <w:t>，以确保其天气和气候产品的质量。</w:t>
      </w:r>
    </w:p>
    <w:p>
      <w:pPr>
        <w:pStyle w:val="2"/>
        <w:spacing w:before="240" w:after="0" w:line="240" w:lineRule="auto"/>
        <w:jc w:val="center"/>
      </w:pPr>
      <w:r>
        <w:drawing>
          <wp:inline distT="0" distB="0" distL="0" distR="0">
            <wp:extent cx="5892800" cy="4772025"/>
            <wp:effectExtent l="0" t="0" r="0" b="952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98436" cy="4776760"/>
                    </a:xfrm>
                    <a:prstGeom prst="rect">
                      <a:avLst/>
                    </a:prstGeom>
                    <a:noFill/>
                    <a:ln>
                      <a:noFill/>
                    </a:ln>
                  </pic:spPr>
                </pic:pic>
              </a:graphicData>
            </a:graphic>
          </wp:inline>
        </w:drawing>
      </w:r>
    </w:p>
    <w:p>
      <w:pPr>
        <w:pStyle w:val="2"/>
        <w:spacing w:before="240" w:after="0" w:line="240" w:lineRule="auto"/>
        <w:jc w:val="center"/>
        <w:rPr>
          <w:b/>
          <w:bCs/>
          <w:sz w:val="18"/>
          <w:szCs w:val="18"/>
          <w:lang w:eastAsia="zh-CN"/>
        </w:rPr>
      </w:pPr>
      <w:r>
        <w:rPr>
          <w:rFonts w:hint="eastAsia" w:ascii="微软雅黑" w:hAnsi="微软雅黑" w:eastAsia="微软雅黑" w:cs="微软雅黑"/>
          <w:b/>
          <w:bCs/>
          <w:sz w:val="18"/>
          <w:szCs w:val="18"/>
          <w:lang w:val="en-US" w:eastAsia="zh-CN"/>
        </w:rPr>
        <w:t>图</w:t>
      </w:r>
      <w:r>
        <w:rPr>
          <w:b/>
          <w:bCs/>
          <w:sz w:val="18"/>
          <w:szCs w:val="18"/>
          <w:lang w:eastAsia="zh-CN"/>
        </w:rPr>
        <w:t>1.1.</w:t>
      </w:r>
      <w:r>
        <w:rPr>
          <w:rFonts w:hint="eastAsia" w:ascii="微软雅黑" w:hAnsi="微软雅黑" w:eastAsia="微软雅黑" w:cs="微软雅黑"/>
          <w:b/>
          <w:bCs/>
          <w:sz w:val="18"/>
          <w:szCs w:val="18"/>
          <w:lang w:eastAsia="zh-CN"/>
        </w:rPr>
        <w:t xml:space="preserve"> 一个或多个</w:t>
      </w:r>
      <w:r>
        <w:rPr>
          <w:rFonts w:hint="eastAsia"/>
          <w:b/>
          <w:bCs/>
          <w:sz w:val="18"/>
          <w:szCs w:val="18"/>
          <w:lang w:eastAsia="zh-CN"/>
        </w:rPr>
        <w:t>WIGOS</w:t>
      </w:r>
      <w:r>
        <w:rPr>
          <w:rFonts w:hint="eastAsia" w:ascii="微软雅黑" w:hAnsi="微软雅黑" w:eastAsia="微软雅黑" w:cs="微软雅黑"/>
          <w:b/>
          <w:bCs/>
          <w:sz w:val="18"/>
          <w:szCs w:val="18"/>
          <w:lang w:eastAsia="zh-CN"/>
        </w:rPr>
        <w:t>监测中心（为</w:t>
      </w:r>
      <w:r>
        <w:rPr>
          <w:rFonts w:hint="eastAsia"/>
          <w:b/>
          <w:bCs/>
          <w:sz w:val="18"/>
          <w:szCs w:val="18"/>
          <w:lang w:eastAsia="zh-CN"/>
        </w:rPr>
        <w:t>WDQMS</w:t>
      </w:r>
      <w:r>
        <w:rPr>
          <w:rFonts w:hint="eastAsia" w:ascii="微软雅黑" w:hAnsi="微软雅黑" w:eastAsia="微软雅黑" w:cs="微软雅黑"/>
          <w:b/>
          <w:bCs/>
          <w:sz w:val="18"/>
          <w:szCs w:val="18"/>
          <w:lang w:eastAsia="zh-CN"/>
        </w:rPr>
        <w:t>做出贡献的全球</w:t>
      </w:r>
      <w:r>
        <w:rPr>
          <w:rFonts w:hint="eastAsia"/>
          <w:b/>
          <w:bCs/>
          <w:sz w:val="18"/>
          <w:szCs w:val="18"/>
          <w:lang w:eastAsia="zh-CN"/>
        </w:rPr>
        <w:t>NWP</w:t>
      </w:r>
      <w:r>
        <w:rPr>
          <w:rFonts w:hint="eastAsia" w:ascii="微软雅黑" w:hAnsi="微软雅黑" w:eastAsia="微软雅黑" w:cs="微软雅黑"/>
          <w:b/>
          <w:bCs/>
          <w:sz w:val="18"/>
          <w:szCs w:val="18"/>
          <w:lang w:eastAsia="zh-CN"/>
        </w:rPr>
        <w:t>中心</w:t>
      </w:r>
      <w:r>
        <w:rPr>
          <w:rFonts w:hint="eastAsia"/>
          <w:b/>
          <w:bCs/>
          <w:sz w:val="18"/>
          <w:szCs w:val="18"/>
          <w:lang w:eastAsia="zh-CN"/>
        </w:rPr>
        <w:t xml:space="preserve"> - DWD</w:t>
      </w:r>
      <w:r>
        <w:rPr>
          <w:rFonts w:hint="eastAsia" w:ascii="微软雅黑" w:hAnsi="微软雅黑" w:eastAsia="微软雅黑" w:cs="微软雅黑"/>
          <w:b/>
          <w:bCs/>
          <w:sz w:val="18"/>
          <w:szCs w:val="18"/>
          <w:lang w:eastAsia="zh-CN"/>
        </w:rPr>
        <w:t>、</w:t>
      </w:r>
      <w:r>
        <w:rPr>
          <w:rFonts w:hint="eastAsia"/>
          <w:b/>
          <w:bCs/>
          <w:sz w:val="18"/>
          <w:szCs w:val="18"/>
          <w:lang w:eastAsia="zh-CN"/>
        </w:rPr>
        <w:t>ECMWF</w:t>
      </w:r>
      <w:r>
        <w:rPr>
          <w:rFonts w:hint="eastAsia" w:ascii="微软雅黑" w:hAnsi="微软雅黑" w:eastAsia="微软雅黑" w:cs="微软雅黑"/>
          <w:b/>
          <w:bCs/>
          <w:sz w:val="18"/>
          <w:szCs w:val="18"/>
          <w:lang w:eastAsia="zh-CN"/>
        </w:rPr>
        <w:t>、</w:t>
      </w:r>
      <w:r>
        <w:rPr>
          <w:rFonts w:hint="eastAsia"/>
          <w:b/>
          <w:bCs/>
          <w:sz w:val="18"/>
          <w:szCs w:val="18"/>
          <w:lang w:eastAsia="zh-CN"/>
        </w:rPr>
        <w:t>JMA</w:t>
      </w:r>
      <w:r>
        <w:rPr>
          <w:rFonts w:hint="eastAsia" w:ascii="微软雅黑" w:hAnsi="微软雅黑" w:eastAsia="微软雅黑" w:cs="微软雅黑"/>
          <w:b/>
          <w:bCs/>
          <w:sz w:val="18"/>
          <w:szCs w:val="18"/>
          <w:lang w:eastAsia="zh-CN"/>
        </w:rPr>
        <w:t>和</w:t>
      </w:r>
      <w:r>
        <w:rPr>
          <w:rFonts w:hint="eastAsia"/>
          <w:b/>
          <w:bCs/>
          <w:sz w:val="18"/>
          <w:szCs w:val="18"/>
          <w:lang w:eastAsia="zh-CN"/>
        </w:rPr>
        <w:t>NCEP</w:t>
      </w:r>
      <w:r>
        <w:rPr>
          <w:rFonts w:hint="eastAsia" w:ascii="微软雅黑" w:hAnsi="微软雅黑" w:eastAsia="微软雅黑" w:cs="微软雅黑"/>
          <w:b/>
          <w:bCs/>
          <w:sz w:val="18"/>
          <w:szCs w:val="18"/>
          <w:lang w:eastAsia="zh-CN"/>
        </w:rPr>
        <w:t>）在</w:t>
      </w:r>
      <w:r>
        <w:rPr>
          <w:rFonts w:hint="eastAsia"/>
          <w:b/>
          <w:bCs/>
          <w:sz w:val="18"/>
          <w:szCs w:val="18"/>
          <w:lang w:eastAsia="zh-CN"/>
        </w:rPr>
        <w:t>2023</w:t>
      </w:r>
      <w:r>
        <w:rPr>
          <w:rFonts w:hint="eastAsia" w:ascii="微软雅黑" w:hAnsi="微软雅黑" w:eastAsia="微软雅黑" w:cs="微软雅黑"/>
          <w:b/>
          <w:bCs/>
          <w:sz w:val="18"/>
          <w:szCs w:val="18"/>
          <w:lang w:eastAsia="zh-CN"/>
        </w:rPr>
        <w:t>年</w:t>
      </w:r>
      <w:r>
        <w:rPr>
          <w:rFonts w:hint="eastAsia"/>
          <w:b/>
          <w:bCs/>
          <w:sz w:val="18"/>
          <w:szCs w:val="18"/>
          <w:lang w:eastAsia="zh-CN"/>
        </w:rPr>
        <w:t>1</w:t>
      </w:r>
      <w:r>
        <w:rPr>
          <w:rFonts w:hint="eastAsia" w:ascii="微软雅黑" w:hAnsi="微软雅黑" w:eastAsia="微软雅黑" w:cs="微软雅黑"/>
          <w:b/>
          <w:bCs/>
          <w:sz w:val="18"/>
          <w:szCs w:val="18"/>
          <w:lang w:eastAsia="zh-CN"/>
        </w:rPr>
        <w:t>月</w:t>
      </w:r>
      <w:r>
        <w:rPr>
          <w:rFonts w:hint="eastAsia"/>
          <w:b/>
          <w:bCs/>
          <w:sz w:val="18"/>
          <w:szCs w:val="18"/>
          <w:lang w:eastAsia="zh-CN"/>
        </w:rPr>
        <w:t>2</w:t>
      </w:r>
      <w:r>
        <w:rPr>
          <w:rFonts w:hint="eastAsia" w:ascii="微软雅黑" w:hAnsi="微软雅黑" w:eastAsia="微软雅黑" w:cs="微软雅黑"/>
          <w:b/>
          <w:bCs/>
          <w:sz w:val="18"/>
          <w:szCs w:val="18"/>
          <w:lang w:eastAsia="zh-CN"/>
        </w:rPr>
        <w:t>日</w:t>
      </w:r>
      <w:r>
        <w:rPr>
          <w:rFonts w:hint="eastAsia"/>
          <w:b/>
          <w:bCs/>
          <w:sz w:val="18"/>
          <w:szCs w:val="18"/>
          <w:lang w:eastAsia="zh-CN"/>
        </w:rPr>
        <w:t>0</w:t>
      </w:r>
      <w:r>
        <w:rPr>
          <w:rFonts w:hint="eastAsia" w:eastAsia="宋体"/>
          <w:b/>
          <w:bCs/>
          <w:sz w:val="18"/>
          <w:szCs w:val="18"/>
          <w:lang w:val="en-US" w:eastAsia="zh-CN"/>
        </w:rPr>
        <w:t>点（UTC时间）</w:t>
      </w:r>
      <w:r>
        <w:rPr>
          <w:rFonts w:hint="eastAsia" w:ascii="微软雅黑" w:hAnsi="微软雅黑" w:eastAsia="微软雅黑" w:cs="微软雅黑"/>
          <w:b/>
          <w:bCs/>
          <w:sz w:val="18"/>
          <w:szCs w:val="18"/>
          <w:lang w:eastAsia="zh-CN"/>
        </w:rPr>
        <w:t>收到的</w:t>
      </w:r>
      <w:r>
        <w:rPr>
          <w:rFonts w:hint="eastAsia" w:ascii="微软雅黑" w:hAnsi="微软雅黑" w:eastAsia="微软雅黑" w:cs="微软雅黑"/>
          <w:b/>
          <w:bCs/>
          <w:sz w:val="18"/>
          <w:szCs w:val="18"/>
          <w:lang w:val="en-US" w:eastAsia="zh-CN"/>
        </w:rPr>
        <w:t>地面气压</w:t>
      </w:r>
      <w:r>
        <w:rPr>
          <w:rFonts w:hint="eastAsia" w:ascii="微软雅黑" w:hAnsi="微软雅黑" w:eastAsia="微软雅黑" w:cs="微软雅黑"/>
          <w:b/>
          <w:bCs/>
          <w:sz w:val="18"/>
          <w:szCs w:val="18"/>
          <w:lang w:eastAsia="zh-CN"/>
        </w:rPr>
        <w:t>观测</w:t>
      </w:r>
      <w:r>
        <w:rPr>
          <w:rFonts w:hint="eastAsia" w:ascii="微软雅黑" w:hAnsi="微软雅黑" w:eastAsia="微软雅黑" w:cs="微软雅黑"/>
          <w:b/>
          <w:bCs/>
          <w:sz w:val="18"/>
          <w:szCs w:val="18"/>
          <w:lang w:val="en-US" w:eastAsia="zh-CN"/>
        </w:rPr>
        <w:t>数据</w:t>
      </w:r>
      <w:r>
        <w:rPr>
          <w:rFonts w:hint="eastAsia" w:ascii="微软雅黑" w:hAnsi="微软雅黑" w:eastAsia="微软雅黑" w:cs="微软雅黑"/>
          <w:b/>
          <w:bCs/>
          <w:sz w:val="18"/>
          <w:szCs w:val="18"/>
          <w:lang w:eastAsia="zh-CN"/>
        </w:rPr>
        <w:t>。</w:t>
      </w:r>
    </w:p>
    <w:p>
      <w:pPr>
        <w:pStyle w:val="2"/>
        <w:rPr>
          <w:rFonts w:ascii="宋体" w:hAnsi="宋体" w:eastAsia="宋体" w:cs="宋体"/>
          <w:sz w:val="18"/>
          <w:szCs w:val="18"/>
          <w:lang w:eastAsia="zh-CN"/>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彩色</w:t>
      </w:r>
      <w:r>
        <w:rPr>
          <w:rFonts w:hint="eastAsia" w:ascii="宋体" w:hAnsi="宋体" w:eastAsia="宋体" w:cs="宋体"/>
          <w:sz w:val="18"/>
          <w:szCs w:val="18"/>
          <w:lang w:eastAsia="zh-CN"/>
        </w:rPr>
        <w:t>编码符合</w:t>
      </w:r>
      <w:r>
        <w:rPr>
          <w:rFonts w:eastAsia="宋体" w:cs="Verdana"/>
          <w:sz w:val="18"/>
          <w:szCs w:val="18"/>
          <w:lang w:eastAsia="zh-CN"/>
        </w:rPr>
        <w:t>GBON</w:t>
      </w:r>
      <w:r>
        <w:rPr>
          <w:rFonts w:hint="eastAsia" w:ascii="宋体" w:hAnsi="宋体" w:eastAsia="宋体" w:cs="宋体"/>
          <w:sz w:val="18"/>
          <w:szCs w:val="18"/>
          <w:lang w:eastAsia="zh-CN"/>
        </w:rPr>
        <w:t>基线要求：报告全部数据的台站用绿色表示，报告部分数据的台站用橙色或红色表示，静默（未报告）的台站用黑色表示）。</w:t>
      </w:r>
    </w:p>
    <w:p>
      <w:pPr>
        <w:pStyle w:val="2"/>
        <w:rPr>
          <w:rFonts w:ascii="宋体" w:hAnsi="宋体" w:eastAsia="宋体" w:cs="宋体"/>
          <w:lang w:eastAsia="zh-CN"/>
        </w:rPr>
      </w:pPr>
      <w:r>
        <w:rPr>
          <w:rFonts w:hint="eastAsia" w:ascii="宋体" w:hAnsi="宋体" w:eastAsia="宋体" w:cs="宋体"/>
          <w:lang w:eastAsia="zh-CN"/>
        </w:rPr>
        <w:t>目前，对陆地和海洋开展的基本</w:t>
      </w:r>
      <w:r>
        <w:rPr>
          <w:rFonts w:hint="eastAsia" w:ascii="宋体" w:hAnsi="宋体" w:eastAsia="宋体" w:cs="宋体"/>
          <w:lang w:val="en-US" w:eastAsia="zh-CN"/>
        </w:rPr>
        <w:t>地基</w:t>
      </w:r>
      <w:r>
        <w:rPr>
          <w:rFonts w:hint="eastAsia" w:ascii="宋体" w:hAnsi="宋体" w:eastAsia="宋体" w:cs="宋体"/>
          <w:lang w:eastAsia="zh-CN"/>
        </w:rPr>
        <w:t>观测还存在很大</w:t>
      </w:r>
      <w:r>
        <w:rPr>
          <w:rFonts w:hint="eastAsia" w:ascii="宋体" w:hAnsi="宋体" w:eastAsia="宋体" w:cs="宋体"/>
          <w:lang w:val="en-US" w:eastAsia="zh-CN"/>
        </w:rPr>
        <w:t>的数据</w:t>
      </w:r>
      <w:r>
        <w:rPr>
          <w:rFonts w:hint="eastAsia" w:ascii="宋体" w:hAnsi="宋体" w:eastAsia="宋体" w:cs="宋体"/>
          <w:lang w:eastAsia="zh-CN"/>
        </w:rPr>
        <w:t>空白。例如，</w:t>
      </w:r>
      <w:r>
        <w:rPr>
          <w:rFonts w:eastAsia="宋体" w:cs="Verdana"/>
          <w:lang w:eastAsia="zh-CN"/>
        </w:rPr>
        <w:t>WIGOS</w:t>
      </w:r>
      <w:r>
        <w:rPr>
          <w:rFonts w:hint="eastAsia" w:ascii="宋体" w:hAnsi="宋体" w:eastAsia="宋体" w:cs="宋体"/>
          <w:lang w:eastAsia="zh-CN"/>
        </w:rPr>
        <w:t>监测中心（为</w:t>
      </w:r>
      <w:r>
        <w:rPr>
          <w:rFonts w:eastAsia="宋体" w:cs="Verdana"/>
          <w:lang w:eastAsia="zh-CN"/>
        </w:rPr>
        <w:t>WDQMS</w:t>
      </w:r>
      <w:r>
        <w:rPr>
          <w:rFonts w:hint="eastAsia" w:ascii="宋体" w:hAnsi="宋体" w:eastAsia="宋体" w:cs="宋体"/>
          <w:lang w:eastAsia="zh-CN"/>
        </w:rPr>
        <w:t>做出贡献的全球</w:t>
      </w:r>
      <w:r>
        <w:rPr>
          <w:rFonts w:eastAsia="宋体" w:cs="Verdana"/>
          <w:lang w:eastAsia="zh-CN"/>
        </w:rPr>
        <w:t>NWP</w:t>
      </w:r>
      <w:r>
        <w:rPr>
          <w:rFonts w:hint="eastAsia" w:ascii="宋体" w:hAnsi="宋体" w:eastAsia="宋体" w:cs="宋体"/>
          <w:lang w:eastAsia="zh-CN"/>
        </w:rPr>
        <w:t>中心）无法获得的地面</w:t>
      </w:r>
      <w:r>
        <w:rPr>
          <w:rFonts w:hint="eastAsia" w:ascii="宋体" w:hAnsi="宋体" w:eastAsia="宋体" w:cs="宋体"/>
          <w:lang w:val="en-US" w:eastAsia="zh-CN"/>
        </w:rPr>
        <w:t>气压</w:t>
      </w:r>
      <w:r>
        <w:rPr>
          <w:rFonts w:hint="eastAsia" w:ascii="宋体" w:hAnsi="宋体" w:eastAsia="宋体" w:cs="宋体"/>
          <w:lang w:eastAsia="zh-CN"/>
        </w:rPr>
        <w:t>观测</w:t>
      </w:r>
      <w:r>
        <w:rPr>
          <w:rFonts w:hint="eastAsia" w:ascii="宋体" w:hAnsi="宋体" w:eastAsia="宋体" w:cs="宋体"/>
          <w:lang w:val="en-US" w:eastAsia="zh-CN"/>
        </w:rPr>
        <w:t>数据</w:t>
      </w:r>
      <w:r>
        <w:rPr>
          <w:rFonts w:hint="eastAsia" w:ascii="宋体" w:hAnsi="宋体" w:eastAsia="宋体" w:cs="宋体"/>
          <w:lang w:eastAsia="zh-CN"/>
        </w:rPr>
        <w:t>在这里（见上图）用黑点表示。红点或橙点表示有观测数据但目前未按要求的时间频率在国际上共享。</w:t>
      </w:r>
    </w:p>
    <w:p>
      <w:pPr>
        <w:pStyle w:val="2"/>
        <w:rPr>
          <w:lang w:eastAsia="zh-CN"/>
        </w:rPr>
      </w:pPr>
      <w:r>
        <w:rPr>
          <w:rFonts w:hint="eastAsia"/>
          <w:lang w:eastAsia="zh-CN"/>
        </w:rPr>
        <w:t>为应对数据覆盖中持续存在的地理缺口，WMO会员采用了GBON</w:t>
      </w:r>
      <w:r>
        <w:rPr>
          <w:rFonts w:hint="eastAsia" w:eastAsia="宋体"/>
          <w:lang w:val="en-US" w:eastAsia="zh-CN"/>
        </w:rPr>
        <w:t>这种新方法</w:t>
      </w:r>
      <w:r>
        <w:rPr>
          <w:rFonts w:hint="eastAsia"/>
          <w:lang w:eastAsia="zh-CN"/>
        </w:rPr>
        <w:t>，即在全球</w:t>
      </w:r>
      <w:r>
        <w:rPr>
          <w:rFonts w:hint="eastAsia" w:ascii="宋体" w:hAnsi="宋体" w:eastAsia="宋体" w:cs="宋体"/>
          <w:lang w:eastAsia="zh-CN"/>
        </w:rPr>
        <w:t>层面</w:t>
      </w:r>
      <w:r>
        <w:rPr>
          <w:rFonts w:hint="eastAsia"/>
          <w:lang w:eastAsia="zh-CN"/>
        </w:rPr>
        <w:t>设计、定义和监</w:t>
      </w:r>
      <w:r>
        <w:rPr>
          <w:rFonts w:hint="eastAsia" w:eastAsia="宋体"/>
          <w:lang w:val="en-US" w:eastAsia="zh-CN"/>
        </w:rPr>
        <w:t>控</w:t>
      </w:r>
      <w:r>
        <w:rPr>
          <w:rFonts w:hint="eastAsia"/>
          <w:lang w:eastAsia="zh-CN"/>
        </w:rPr>
        <w:t>向NWP模式提供输入数据所需的基本</w:t>
      </w:r>
      <w:r>
        <w:rPr>
          <w:rFonts w:hint="eastAsia" w:eastAsia="宋体"/>
          <w:lang w:val="en-US" w:eastAsia="zh-CN"/>
        </w:rPr>
        <w:t>地基</w:t>
      </w:r>
      <w:r>
        <w:rPr>
          <w:rFonts w:hint="eastAsia"/>
          <w:lang w:eastAsia="zh-CN"/>
        </w:rPr>
        <w:t>观测网。</w:t>
      </w:r>
    </w:p>
    <w:p>
      <w:pPr>
        <w:pStyle w:val="2"/>
        <w:rPr>
          <w:lang w:eastAsia="zh-CN"/>
        </w:rPr>
      </w:pPr>
      <w:r>
        <w:rPr>
          <w:rFonts w:hint="eastAsia"/>
          <w:lang w:eastAsia="zh-CN"/>
        </w:rPr>
        <w:t>GBON改善了观测数据的国际交换，并且这种改</w:t>
      </w:r>
      <w:r>
        <w:rPr>
          <w:rFonts w:hint="eastAsia" w:eastAsia="宋体"/>
          <w:lang w:val="en-US" w:eastAsia="zh-CN"/>
        </w:rPr>
        <w:t>善</w:t>
      </w:r>
      <w:r>
        <w:rPr>
          <w:rFonts w:hint="eastAsia"/>
          <w:lang w:eastAsia="zh-CN"/>
        </w:rPr>
        <w:t>将贯穿整个气象价值链，带来的效益</w:t>
      </w:r>
      <w:r>
        <w:rPr>
          <w:rFonts w:hint="eastAsia" w:eastAsia="宋体"/>
          <w:lang w:val="en-US" w:eastAsia="zh-CN"/>
        </w:rPr>
        <w:t>预计</w:t>
      </w:r>
      <w:r>
        <w:rPr>
          <w:rFonts w:hint="eastAsia"/>
          <w:lang w:eastAsia="zh-CN"/>
        </w:rPr>
        <w:t>每年超过50亿美元（见</w:t>
      </w:r>
      <w:r>
        <w:rPr>
          <w:rFonts w:hint="eastAsia"/>
        </w:rPr>
        <w:fldChar w:fldCharType="begin"/>
      </w:r>
      <w:r>
        <w:rPr>
          <w:rFonts w:hint="eastAsia"/>
          <w:lang w:eastAsia="zh-CN"/>
        </w:rPr>
        <w:instrText xml:space="preserve"> HYPERLINK "https://library.wmo.int/index.php?lvl=notice_display&amp;id=21770" \l ".Y-BsVi9Bybg" </w:instrText>
      </w:r>
      <w:r>
        <w:rPr>
          <w:rFonts w:hint="eastAsia"/>
        </w:rPr>
        <w:fldChar w:fldCharType="separate"/>
      </w:r>
      <w:r>
        <w:rPr>
          <w:rStyle w:val="40"/>
          <w:rFonts w:hint="eastAsia"/>
          <w:lang w:eastAsia="zh-CN"/>
        </w:rPr>
        <w:t>《地</w:t>
      </w:r>
      <w:r>
        <w:rPr>
          <w:rStyle w:val="40"/>
          <w:rFonts w:hint="eastAsia" w:eastAsia="宋体"/>
          <w:lang w:val="en-US" w:eastAsia="zh-CN"/>
        </w:rPr>
        <w:t>基</w:t>
      </w:r>
      <w:r>
        <w:rPr>
          <w:rStyle w:val="40"/>
          <w:rFonts w:hint="eastAsia"/>
          <w:lang w:eastAsia="zh-CN"/>
        </w:rPr>
        <w:t>气象观测数据的价值：全球基本观测网的成本和效益</w:t>
      </w:r>
      <w:r>
        <w:rPr>
          <w:rStyle w:val="40"/>
          <w:rFonts w:hint="eastAsia" w:eastAsia="宋体"/>
          <w:lang w:eastAsia="zh-CN"/>
        </w:rPr>
        <w:t>》</w:t>
      </w:r>
      <w:r>
        <w:rPr>
          <w:rFonts w:hint="eastAsia"/>
        </w:rPr>
        <w:fldChar w:fldCharType="end"/>
      </w:r>
      <w:r>
        <w:rPr>
          <w:rFonts w:hint="eastAsia"/>
          <w:lang w:eastAsia="zh-CN"/>
        </w:rPr>
        <w:t>）。</w:t>
      </w:r>
    </w:p>
    <w:p>
      <w:pPr>
        <w:pStyle w:val="2"/>
        <w:rPr>
          <w:lang w:eastAsia="zh-CN"/>
        </w:rPr>
      </w:pPr>
      <w:r>
        <w:rPr>
          <w:rFonts w:hint="eastAsia" w:ascii="宋体" w:hAnsi="宋体" w:eastAsia="宋体" w:cs="宋体"/>
          <w:lang w:eastAsia="zh-CN"/>
        </w:rPr>
        <w:t>通过</w:t>
      </w:r>
      <w:r>
        <w:rPr>
          <w:rFonts w:hint="eastAsia"/>
          <w:lang w:eastAsia="zh-CN"/>
        </w:rPr>
        <w:t>GBON</w:t>
      </w:r>
      <w:r>
        <w:rPr>
          <w:rFonts w:hint="eastAsia" w:ascii="宋体" w:hAnsi="宋体" w:eastAsia="宋体" w:cs="宋体"/>
          <w:lang w:eastAsia="zh-CN"/>
        </w:rPr>
        <w:t>加强地</w:t>
      </w:r>
      <w:r>
        <w:rPr>
          <w:rFonts w:hint="eastAsia" w:ascii="宋体" w:hAnsi="宋体" w:eastAsia="宋体" w:cs="宋体"/>
          <w:lang w:val="en-US" w:eastAsia="zh-CN"/>
        </w:rPr>
        <w:t>基</w:t>
      </w:r>
      <w:r>
        <w:rPr>
          <w:rFonts w:hint="eastAsia" w:ascii="宋体" w:hAnsi="宋体" w:eastAsia="宋体" w:cs="宋体"/>
          <w:lang w:eastAsia="zh-CN"/>
        </w:rPr>
        <w:t>观测带来的效益，将在目前缺少观测数据的地区表现得最为显著，包括一些气候变化及其影响</w:t>
      </w:r>
      <w:r>
        <w:rPr>
          <w:rFonts w:hint="eastAsia" w:ascii="宋体" w:hAnsi="宋体" w:eastAsia="宋体" w:cs="宋体"/>
          <w:lang w:val="en-US" w:eastAsia="zh-CN"/>
        </w:rPr>
        <w:t>最脆弱</w:t>
      </w:r>
      <w:r>
        <w:rPr>
          <w:rFonts w:hint="eastAsia" w:ascii="宋体" w:hAnsi="宋体" w:eastAsia="宋体" w:cs="宋体"/>
          <w:lang w:eastAsia="zh-CN"/>
        </w:rPr>
        <w:t>地区。然而，鉴于天气和气候的全球性，采用</w:t>
      </w:r>
      <w:r>
        <w:rPr>
          <w:rFonts w:hint="eastAsia"/>
          <w:lang w:eastAsia="zh-CN"/>
        </w:rPr>
        <w:t>GBON</w:t>
      </w:r>
      <w:r>
        <w:rPr>
          <w:rFonts w:hint="eastAsia" w:ascii="宋体" w:hAnsi="宋体" w:eastAsia="宋体" w:cs="宋体"/>
          <w:lang w:eastAsia="zh-CN"/>
        </w:rPr>
        <w:t>的各国和全球都将受益于</w:t>
      </w:r>
      <w:r>
        <w:rPr>
          <w:rFonts w:hint="eastAsia"/>
          <w:lang w:eastAsia="zh-CN"/>
        </w:rPr>
        <w:t>GBON</w:t>
      </w:r>
      <w:r>
        <w:rPr>
          <w:rFonts w:hint="eastAsia" w:ascii="宋体" w:hAnsi="宋体" w:eastAsia="宋体" w:cs="宋体"/>
          <w:lang w:eastAsia="zh-CN"/>
        </w:rPr>
        <w:t>。</w:t>
      </w:r>
    </w:p>
    <w:p>
      <w:pPr>
        <w:pStyle w:val="2"/>
        <w:rPr>
          <w:lang w:eastAsia="zh-CN"/>
        </w:rPr>
      </w:pPr>
      <w:r>
        <w:rPr>
          <w:rFonts w:hint="eastAsia" w:ascii="宋体" w:hAnsi="宋体" w:eastAsia="宋体" w:cs="宋体"/>
          <w:lang w:eastAsia="zh-CN"/>
        </w:rPr>
        <w:t>为使</w:t>
      </w:r>
      <w:r>
        <w:rPr>
          <w:rFonts w:hint="eastAsia"/>
          <w:lang w:eastAsia="zh-CN"/>
        </w:rPr>
        <w:t>WMO</w:t>
      </w:r>
      <w:r>
        <w:rPr>
          <w:rFonts w:hint="eastAsia" w:ascii="宋体" w:hAnsi="宋体" w:eastAsia="宋体" w:cs="宋体"/>
          <w:lang w:eastAsia="zh-CN"/>
        </w:rPr>
        <w:t>会员全面实施</w:t>
      </w:r>
      <w:r>
        <w:rPr>
          <w:rFonts w:hint="eastAsia"/>
          <w:lang w:eastAsia="zh-CN"/>
        </w:rPr>
        <w:t>GBON</w:t>
      </w:r>
      <w:r>
        <w:rPr>
          <w:rFonts w:hint="eastAsia" w:ascii="宋体" w:hAnsi="宋体" w:eastAsia="宋体" w:cs="宋体"/>
          <w:lang w:eastAsia="zh-CN"/>
        </w:rPr>
        <w:t>并实现上述效益，许多发展中国家还需要额外的投资和能力发展。为此，</w:t>
      </w:r>
      <w:r>
        <w:rPr>
          <w:rFonts w:hint="eastAsia"/>
          <w:lang w:eastAsia="zh-CN"/>
        </w:rPr>
        <w:t>WMO</w:t>
      </w:r>
      <w:r>
        <w:rPr>
          <w:rFonts w:hint="eastAsia" w:ascii="宋体" w:hAnsi="宋体" w:eastAsia="宋体" w:cs="宋体"/>
          <w:lang w:eastAsia="zh-CN"/>
        </w:rPr>
        <w:t>正在与国际发展和气候融资界密切合作，包括建立系统观测融资机制（</w:t>
      </w:r>
      <w:r>
        <w:fldChar w:fldCharType="begin"/>
      </w:r>
      <w:r>
        <w:rPr>
          <w:lang w:eastAsia="zh-CN"/>
        </w:rPr>
        <w:instrText xml:space="preserve">HYPERLINK "https://alliancehydromet.org/soff/"</w:instrText>
      </w:r>
      <w:r>
        <w:fldChar w:fldCharType="separate"/>
      </w:r>
      <w:r>
        <w:rPr>
          <w:rStyle w:val="40"/>
          <w:lang w:eastAsia="zh-CN"/>
        </w:rPr>
        <w:t>SOFF</w:t>
      </w:r>
      <w:r>
        <w:rPr>
          <w:rStyle w:val="40"/>
          <w:lang w:eastAsia="zh-CN"/>
        </w:rPr>
        <w:fldChar w:fldCharType="end"/>
      </w:r>
      <w:r>
        <w:rPr>
          <w:rFonts w:hint="eastAsia" w:ascii="宋体" w:hAnsi="宋体" w:eastAsia="宋体" w:cs="宋体"/>
          <w:lang w:eastAsia="zh-CN"/>
        </w:rPr>
        <w:t>）。有关</w:t>
      </w:r>
      <w:r>
        <w:rPr>
          <w:rFonts w:hint="eastAsia"/>
          <w:lang w:eastAsia="zh-CN"/>
        </w:rPr>
        <w:t>SOFF</w:t>
      </w:r>
      <w:r>
        <w:rPr>
          <w:rFonts w:hint="eastAsia" w:ascii="宋体" w:hAnsi="宋体" w:eastAsia="宋体" w:cs="宋体"/>
          <w:lang w:eastAsia="zh-CN"/>
        </w:rPr>
        <w:t>如何努力帮助缩小</w:t>
      </w:r>
      <w:r>
        <w:rPr>
          <w:rFonts w:hint="eastAsia"/>
          <w:lang w:eastAsia="zh-CN"/>
        </w:rPr>
        <w:t>GBON</w:t>
      </w:r>
      <w:r>
        <w:rPr>
          <w:rFonts w:hint="eastAsia" w:ascii="宋体" w:hAnsi="宋体" w:eastAsia="宋体" w:cs="宋体"/>
          <w:lang w:eastAsia="zh-CN"/>
        </w:rPr>
        <w:t>差距的更多信息，请单击</w:t>
      </w:r>
      <w:r>
        <w:rPr>
          <w:rFonts w:hint="eastAsia" w:ascii="宋体" w:hAnsi="宋体" w:eastAsia="宋体" w:cs="宋体"/>
        </w:rPr>
        <w:fldChar w:fldCharType="begin"/>
      </w:r>
      <w:r>
        <w:rPr>
          <w:rFonts w:hint="eastAsia" w:ascii="宋体" w:hAnsi="宋体" w:eastAsia="宋体" w:cs="宋体"/>
          <w:lang w:eastAsia="zh-CN"/>
        </w:rPr>
        <w:instrText xml:space="preserve"> HYPERLINK "https://library.wmo.int/index.php?lvl=notice_display&amp;id=21771" \l ".Y-Bugi9Bybg" </w:instrText>
      </w:r>
      <w:r>
        <w:rPr>
          <w:rFonts w:hint="eastAsia" w:ascii="宋体" w:hAnsi="宋体" w:eastAsia="宋体" w:cs="宋体"/>
        </w:rPr>
        <w:fldChar w:fldCharType="separate"/>
      </w:r>
      <w:r>
        <w:rPr>
          <w:rStyle w:val="40"/>
          <w:rFonts w:hint="eastAsia" w:ascii="宋体" w:hAnsi="宋体" w:eastAsia="宋体" w:cs="宋体"/>
          <w:lang w:eastAsia="zh-CN"/>
        </w:rPr>
        <w:t>此处</w:t>
      </w:r>
      <w:r>
        <w:rPr>
          <w:rFonts w:hint="eastAsia" w:ascii="宋体" w:hAnsi="宋体" w:eastAsia="宋体" w:cs="宋体"/>
        </w:rPr>
        <w:fldChar w:fldCharType="end"/>
      </w:r>
      <w:r>
        <w:rPr>
          <w:rFonts w:hint="eastAsia" w:ascii="宋体" w:hAnsi="宋体" w:eastAsia="宋体" w:cs="宋体"/>
          <w:lang w:eastAsia="zh-CN"/>
        </w:rPr>
        <w:t>。</w:t>
      </w:r>
    </w:p>
    <w:bookmarkEnd w:id="0"/>
    <w:bookmarkEnd w:id="1"/>
    <w:p>
      <w:pPr>
        <w:pStyle w:val="2"/>
        <w:rPr>
          <w:rFonts w:ascii="宋体" w:hAnsi="宋体" w:eastAsia="宋体" w:cs="宋体"/>
          <w:lang w:eastAsia="zh-CN"/>
        </w:rPr>
      </w:pPr>
      <w:bookmarkStart w:id="3" w:name="_p_BCAF1B89D0C6FE4EA79E2CCC605AB21E"/>
      <w:bookmarkEnd w:id="3"/>
      <w:bookmarkStart w:id="4" w:name="_p_3F16EFFCCADBB54BB73155A08D70AB9C"/>
      <w:bookmarkEnd w:id="4"/>
      <w:r>
        <w:rPr>
          <w:rFonts w:hint="eastAsia" w:ascii="宋体" w:hAnsi="宋体" w:eastAsia="宋体" w:cs="宋体"/>
        </w:rPr>
        <w:fldChar w:fldCharType="begin"/>
      </w:r>
      <w:r>
        <w:rPr>
          <w:rFonts w:hint="eastAsia" w:ascii="宋体" w:hAnsi="宋体" w:eastAsia="宋体" w:cs="宋体"/>
          <w:lang w:eastAsia="zh-CN"/>
        </w:rPr>
        <w:instrText xml:space="preserve"> HYPERLINK "https://library.wmo.int/doc_num.php?explnum_id=11151" </w:instrText>
      </w:r>
      <w:r>
        <w:rPr>
          <w:rFonts w:hint="eastAsia" w:ascii="宋体" w:hAnsi="宋体" w:eastAsia="宋体" w:cs="宋体"/>
        </w:rPr>
        <w:fldChar w:fldCharType="separate"/>
      </w:r>
      <w:r>
        <w:rPr>
          <w:rStyle w:val="40"/>
          <w:rFonts w:hint="eastAsia" w:ascii="宋体" w:hAnsi="宋体" w:eastAsia="宋体" w:cs="宋体"/>
          <w:lang w:eastAsia="zh-CN"/>
        </w:rPr>
        <w:t>《</w:t>
      </w:r>
      <w:r>
        <w:rPr>
          <w:rStyle w:val="40"/>
          <w:rFonts w:eastAsia="宋体" w:cs="Verdana"/>
          <w:lang w:eastAsia="zh-CN"/>
        </w:rPr>
        <w:t>WMO</w:t>
      </w:r>
      <w:r>
        <w:rPr>
          <w:rStyle w:val="40"/>
          <w:rFonts w:hint="eastAsia" w:ascii="宋体" w:hAnsi="宋体" w:eastAsia="宋体" w:cs="宋体"/>
          <w:lang w:eastAsia="zh-CN"/>
        </w:rPr>
        <w:t>全球综合观测系统手册》</w:t>
      </w:r>
      <w:r>
        <w:rPr>
          <w:rFonts w:hint="eastAsia" w:ascii="宋体" w:hAnsi="宋体" w:eastAsia="宋体" w:cs="宋体"/>
        </w:rPr>
        <w:fldChar w:fldCharType="end"/>
      </w:r>
      <w:r>
        <w:rPr>
          <w:rFonts w:hint="eastAsia" w:ascii="宋体" w:hAnsi="宋体" w:eastAsia="宋体" w:cs="宋体"/>
          <w:lang w:eastAsia="zh-CN"/>
        </w:rPr>
        <w:t>（</w:t>
      </w:r>
      <w:r>
        <w:rPr>
          <w:rFonts w:eastAsia="宋体" w:cs="Verdana"/>
          <w:lang w:eastAsia="zh-CN"/>
        </w:rPr>
        <w:t>WMO-No. 1160</w:t>
      </w:r>
      <w:r>
        <w:rPr>
          <w:rFonts w:hint="eastAsia" w:ascii="宋体" w:hAnsi="宋体" w:eastAsia="宋体" w:cs="宋体"/>
          <w:lang w:eastAsia="zh-CN"/>
        </w:rPr>
        <w:t>）第</w:t>
      </w:r>
      <w:r>
        <w:rPr>
          <w:rFonts w:eastAsia="宋体" w:cs="Verdana"/>
          <w:lang w:eastAsia="zh-CN"/>
        </w:rPr>
        <w:t>3.2.2</w:t>
      </w:r>
      <w:r>
        <w:rPr>
          <w:rFonts w:hint="eastAsia" w:ascii="宋体" w:hAnsi="宋体" w:eastAsia="宋体" w:cs="宋体"/>
          <w:lang w:eastAsia="zh-CN"/>
        </w:rPr>
        <w:t>节“全球基本观测网”的</w:t>
      </w:r>
      <w:r>
        <w:rPr>
          <w:rFonts w:hint="eastAsia" w:ascii="宋体" w:hAnsi="宋体" w:eastAsia="宋体" w:cs="宋体"/>
          <w:lang w:val="en-US" w:eastAsia="zh-CN"/>
        </w:rPr>
        <w:t>内容</w:t>
      </w:r>
      <w:r>
        <w:rPr>
          <w:rFonts w:hint="eastAsia" w:ascii="宋体" w:hAnsi="宋体" w:eastAsia="宋体" w:cs="宋体"/>
          <w:lang w:eastAsia="zh-CN"/>
        </w:rPr>
        <w:t>，以</w:t>
      </w:r>
      <w:r>
        <w:rPr>
          <w:rFonts w:eastAsia="宋体" w:cs="Verdana"/>
          <w:lang w:eastAsia="zh-CN"/>
        </w:rPr>
        <w:t>WMO</w:t>
      </w:r>
      <w:r>
        <w:rPr>
          <w:rFonts w:hint="eastAsia" w:ascii="宋体" w:hAnsi="宋体" w:eastAsia="宋体" w:cs="宋体"/>
          <w:lang w:eastAsia="zh-CN"/>
        </w:rPr>
        <w:t>观测、基础设施和信息系统委员会（</w:t>
      </w:r>
      <w:r>
        <w:rPr>
          <w:rFonts w:eastAsia="宋体" w:cs="Verdana"/>
          <w:lang w:eastAsia="zh-CN"/>
        </w:rPr>
        <w:t>INFCOM</w:t>
      </w:r>
      <w:r>
        <w:rPr>
          <w:rFonts w:hint="eastAsia" w:ascii="宋体" w:hAnsi="宋体" w:eastAsia="宋体" w:cs="宋体"/>
          <w:lang w:eastAsia="zh-CN"/>
        </w:rPr>
        <w:t>）和全球气候观测系统下的技术专家对全球</w:t>
      </w:r>
      <w:r>
        <w:rPr>
          <w:rFonts w:eastAsia="宋体" w:cs="Verdana"/>
          <w:lang w:eastAsia="zh-CN"/>
        </w:rPr>
        <w:t>NWP</w:t>
      </w:r>
      <w:r>
        <w:rPr>
          <w:rFonts w:hint="eastAsia" w:ascii="宋体" w:hAnsi="宋体" w:eastAsia="宋体" w:cs="宋体"/>
          <w:lang w:eastAsia="zh-CN"/>
        </w:rPr>
        <w:t>的当前观测要求为基础。这些</w:t>
      </w:r>
      <w:r>
        <w:rPr>
          <w:rFonts w:hint="eastAsia" w:ascii="宋体" w:hAnsi="宋体" w:eastAsia="宋体" w:cs="宋体"/>
          <w:lang w:val="en-US" w:eastAsia="zh-CN"/>
        </w:rPr>
        <w:t>内容</w:t>
      </w:r>
      <w:r>
        <w:rPr>
          <w:rFonts w:hint="eastAsia" w:ascii="宋体" w:hAnsi="宋体" w:eastAsia="宋体" w:cs="宋体"/>
          <w:lang w:eastAsia="zh-CN"/>
        </w:rPr>
        <w:t>借鉴了</w:t>
      </w:r>
      <w:r>
        <w:rPr>
          <w:rFonts w:eastAsia="宋体" w:cs="Verdana"/>
          <w:lang w:eastAsia="zh-CN"/>
        </w:rPr>
        <w:t>20</w:t>
      </w:r>
      <w:r>
        <w:rPr>
          <w:rFonts w:hint="eastAsia" w:ascii="宋体" w:hAnsi="宋体" w:eastAsia="宋体" w:cs="宋体"/>
          <w:lang w:eastAsia="zh-CN"/>
        </w:rPr>
        <w:t>多年来由</w:t>
      </w:r>
      <w:r>
        <w:rPr>
          <w:rFonts w:eastAsia="宋体" w:cs="Verdana"/>
          <w:lang w:eastAsia="zh-CN"/>
        </w:rPr>
        <w:t>WMO</w:t>
      </w:r>
      <w:r>
        <w:rPr>
          <w:rFonts w:hint="eastAsia" w:ascii="宋体" w:hAnsi="宋体" w:eastAsia="宋体" w:cs="宋体"/>
          <w:lang w:eastAsia="zh-CN"/>
        </w:rPr>
        <w:t>协调的</w:t>
      </w:r>
      <w:r>
        <w:rPr>
          <w:rFonts w:eastAsia="宋体" w:cs="Verdana"/>
          <w:lang w:eastAsia="zh-CN"/>
        </w:rPr>
        <w:t>NWP</w:t>
      </w:r>
      <w:r>
        <w:rPr>
          <w:rFonts w:hint="eastAsia" w:ascii="宋体" w:hAnsi="宋体" w:eastAsia="宋体" w:cs="宋体"/>
          <w:lang w:eastAsia="zh-CN"/>
        </w:rPr>
        <w:t>观测数据影响研究的成果，明确、定量地规定了</w:t>
      </w:r>
      <w:r>
        <w:rPr>
          <w:rFonts w:eastAsia="宋体" w:cs="Verdana"/>
          <w:lang w:eastAsia="zh-CN"/>
        </w:rPr>
        <w:t>WMO</w:t>
      </w:r>
      <w:r>
        <w:rPr>
          <w:rFonts w:hint="eastAsia" w:ascii="宋体" w:hAnsi="宋体" w:eastAsia="宋体" w:cs="宋体"/>
          <w:lang w:eastAsia="zh-CN"/>
        </w:rPr>
        <w:t>会员获取和交换这些急需的观测</w:t>
      </w:r>
      <w:r>
        <w:rPr>
          <w:rFonts w:hint="eastAsia" w:ascii="宋体" w:hAnsi="宋体" w:eastAsia="宋体" w:cs="宋体"/>
          <w:lang w:val="en-US" w:eastAsia="zh-CN"/>
        </w:rPr>
        <w:t>数据</w:t>
      </w:r>
      <w:r>
        <w:rPr>
          <w:rFonts w:hint="eastAsia" w:ascii="宋体" w:hAnsi="宋体" w:eastAsia="宋体" w:cs="宋体"/>
          <w:lang w:eastAsia="zh-CN"/>
        </w:rPr>
        <w:t>的义务：测量哪些参数、多久测量一次、测量的水平和垂直分辨率以及使用哪些测量技术。</w:t>
      </w:r>
    </w:p>
    <w:p>
      <w:pPr>
        <w:pStyle w:val="109"/>
        <w:ind w:left="0" w:firstLine="0"/>
        <w:rPr>
          <w:rFonts w:ascii="宋体" w:hAnsi="宋体" w:eastAsia="宋体" w:cs="宋体"/>
          <w:lang w:eastAsia="zh-CN"/>
        </w:rPr>
      </w:pPr>
      <w:bookmarkStart w:id="5" w:name="_p_113BB79948A9EC41BC0F858B7DB5AA2E"/>
      <w:bookmarkEnd w:id="5"/>
      <w:r>
        <w:rPr>
          <w:rFonts w:hint="eastAsia" w:ascii="宋体" w:hAnsi="宋体" w:eastAsia="宋体" w:cs="宋体"/>
          <w:lang w:eastAsia="zh-CN"/>
        </w:rPr>
        <w:t>卫星覆盖全球，可以测量大气和地面参数，卫星数据极大促进了预报技巧的发展。然而，对于尚不能从空中获得可靠测量结果的关键参数</w:t>
      </w:r>
      <w:r>
        <w:rPr>
          <w:rFonts w:hint="eastAsia" w:ascii="宋体" w:hAnsi="宋体" w:eastAsia="宋体" w:cs="宋体"/>
          <w:lang w:val="en-US" w:eastAsia="zh-CN"/>
        </w:rPr>
        <w:t>来说</w:t>
      </w:r>
      <w:r>
        <w:rPr>
          <w:rFonts w:hint="eastAsia" w:ascii="宋体" w:hAnsi="宋体" w:eastAsia="宋体" w:cs="宋体"/>
          <w:lang w:eastAsia="zh-CN"/>
        </w:rPr>
        <w:t>，特别是大气表面压力、风的垂直分布和次表层海洋参数，全球</w:t>
      </w:r>
      <w:r>
        <w:rPr>
          <w:rFonts w:eastAsia="宋体" w:cs="Verdana"/>
          <w:lang w:eastAsia="zh-CN"/>
        </w:rPr>
        <w:t>NWP</w:t>
      </w:r>
      <w:r>
        <w:rPr>
          <w:rFonts w:hint="eastAsia" w:ascii="宋体" w:hAnsi="宋体" w:eastAsia="宋体" w:cs="宋体"/>
          <w:lang w:eastAsia="zh-CN"/>
        </w:rPr>
        <w:t>系统仍然严重依赖</w:t>
      </w:r>
      <w:r>
        <w:rPr>
          <w:rFonts w:hint="eastAsia" w:ascii="宋体" w:hAnsi="宋体" w:eastAsia="宋体" w:cs="宋体"/>
          <w:lang w:val="en-US" w:eastAsia="zh-CN"/>
        </w:rPr>
        <w:t>地基</w:t>
      </w:r>
      <w:r>
        <w:rPr>
          <w:rFonts w:hint="eastAsia" w:ascii="宋体" w:hAnsi="宋体" w:eastAsia="宋体" w:cs="宋体"/>
          <w:lang w:eastAsia="zh-CN"/>
        </w:rPr>
        <w:t>观测。地</w:t>
      </w:r>
      <w:r>
        <w:rPr>
          <w:rFonts w:hint="eastAsia" w:ascii="宋体" w:hAnsi="宋体" w:eastAsia="宋体" w:cs="宋体"/>
          <w:lang w:val="en-US" w:eastAsia="zh-CN"/>
        </w:rPr>
        <w:t>基</w:t>
      </w:r>
      <w:r>
        <w:rPr>
          <w:rFonts w:hint="eastAsia" w:ascii="宋体" w:hAnsi="宋体" w:eastAsia="宋体" w:cs="宋体"/>
          <w:lang w:eastAsia="zh-CN"/>
        </w:rPr>
        <w:t>观测对</w:t>
      </w:r>
      <w:r>
        <w:rPr>
          <w:rFonts w:hint="eastAsia" w:ascii="宋体" w:hAnsi="宋体" w:eastAsia="宋体" w:cs="宋体"/>
          <w:lang w:val="en-US" w:eastAsia="zh-CN"/>
        </w:rPr>
        <w:t>地表</w:t>
      </w:r>
      <w:r>
        <w:rPr>
          <w:rFonts w:hint="eastAsia" w:ascii="宋体" w:hAnsi="宋体" w:eastAsia="宋体" w:cs="宋体"/>
          <w:lang w:eastAsia="zh-CN"/>
        </w:rPr>
        <w:t>和冰雪表面</w:t>
      </w:r>
      <w:r>
        <w:rPr>
          <w:rFonts w:hint="eastAsia" w:ascii="宋体" w:hAnsi="宋体" w:eastAsia="宋体" w:cs="宋体"/>
          <w:lang w:val="en-US" w:eastAsia="zh-CN"/>
        </w:rPr>
        <w:t>来说</w:t>
      </w:r>
      <w:r>
        <w:rPr>
          <w:rFonts w:hint="eastAsia" w:ascii="宋体" w:hAnsi="宋体" w:eastAsia="宋体" w:cs="宋体"/>
          <w:lang w:eastAsia="zh-CN"/>
        </w:rPr>
        <w:t>至关重要，是验证模式预测</w:t>
      </w:r>
      <w:r>
        <w:rPr>
          <w:rFonts w:hint="eastAsia" w:ascii="宋体" w:hAnsi="宋体" w:eastAsia="宋体" w:cs="宋体"/>
          <w:lang w:val="en-US" w:eastAsia="zh-CN"/>
        </w:rPr>
        <w:t>结果</w:t>
      </w:r>
      <w:r>
        <w:rPr>
          <w:rFonts w:hint="eastAsia" w:ascii="宋体" w:hAnsi="宋体" w:eastAsia="宋体" w:cs="宋体"/>
          <w:lang w:eastAsia="zh-CN"/>
        </w:rPr>
        <w:t>的必要工具，且在校准和验证天基数据方面发挥着关键作用。</w:t>
      </w:r>
    </w:p>
    <w:p>
      <w:pPr>
        <w:pStyle w:val="109"/>
        <w:ind w:left="0" w:firstLine="0"/>
        <w:rPr>
          <w:rFonts w:ascii="宋体" w:hAnsi="宋体" w:eastAsia="宋体" w:cs="宋体"/>
          <w:lang w:eastAsia="zh-CN"/>
        </w:rPr>
      </w:pPr>
      <w:r>
        <w:rPr>
          <w:rFonts w:hint="eastAsia" w:ascii="宋体" w:hAnsi="宋体" w:eastAsia="宋体" w:cs="宋体"/>
          <w:lang w:eastAsia="zh-CN"/>
        </w:rPr>
        <w:t>鉴于地</w:t>
      </w:r>
      <w:r>
        <w:rPr>
          <w:rFonts w:hint="eastAsia" w:ascii="宋体" w:hAnsi="宋体" w:eastAsia="宋体" w:cs="宋体"/>
          <w:lang w:val="en-US" w:eastAsia="zh-CN"/>
        </w:rPr>
        <w:t>基</w:t>
      </w:r>
      <w:r>
        <w:rPr>
          <w:rFonts w:hint="eastAsia" w:ascii="宋体" w:hAnsi="宋体" w:eastAsia="宋体" w:cs="宋体"/>
          <w:lang w:eastAsia="zh-CN"/>
        </w:rPr>
        <w:t>观测的关键作用和地</w:t>
      </w:r>
      <w:r>
        <w:rPr>
          <w:rFonts w:hint="eastAsia" w:ascii="宋体" w:hAnsi="宋体" w:eastAsia="宋体" w:cs="宋体"/>
          <w:lang w:val="en-US" w:eastAsia="zh-CN"/>
        </w:rPr>
        <w:t>基</w:t>
      </w:r>
      <w:r>
        <w:rPr>
          <w:rFonts w:hint="eastAsia" w:ascii="宋体" w:hAnsi="宋体" w:eastAsia="宋体" w:cs="宋体"/>
          <w:lang w:eastAsia="zh-CN"/>
        </w:rPr>
        <w:t>观测网持续存在的缺口，</w:t>
      </w:r>
      <w:r>
        <w:rPr>
          <w:rFonts w:eastAsia="宋体" w:cs="Verdana"/>
          <w:lang w:eastAsia="zh-CN"/>
        </w:rPr>
        <w:t>GBON</w:t>
      </w:r>
      <w:r>
        <w:rPr>
          <w:rFonts w:hint="eastAsia" w:ascii="宋体" w:hAnsi="宋体" w:eastAsia="宋体" w:cs="宋体"/>
          <w:lang w:val="en-US" w:eastAsia="zh-CN"/>
        </w:rPr>
        <w:t>规则</w:t>
      </w:r>
      <w:r>
        <w:rPr>
          <w:rFonts w:hint="eastAsia" w:ascii="宋体" w:hAnsi="宋体" w:eastAsia="宋体" w:cs="宋体"/>
          <w:lang w:eastAsia="zh-CN"/>
        </w:rPr>
        <w:t>目前仅涵盖地</w:t>
      </w:r>
      <w:r>
        <w:rPr>
          <w:rFonts w:hint="eastAsia" w:ascii="宋体" w:hAnsi="宋体" w:eastAsia="宋体" w:cs="宋体"/>
          <w:lang w:val="en-US" w:eastAsia="zh-CN"/>
        </w:rPr>
        <w:t>基</w:t>
      </w:r>
      <w:r>
        <w:rPr>
          <w:rFonts w:hint="eastAsia" w:ascii="宋体" w:hAnsi="宋体" w:eastAsia="宋体" w:cs="宋体"/>
          <w:lang w:eastAsia="zh-CN"/>
        </w:rPr>
        <w:t>数据。</w:t>
      </w:r>
      <w:r>
        <w:rPr>
          <w:rFonts w:eastAsia="宋体" w:cs="Verdana"/>
          <w:lang w:eastAsia="zh-CN"/>
        </w:rPr>
        <w:t>WMO</w:t>
      </w:r>
      <w:r>
        <w:rPr>
          <w:rFonts w:hint="eastAsia" w:ascii="宋体" w:hAnsi="宋体" w:eastAsia="宋体" w:cs="宋体"/>
          <w:lang w:eastAsia="zh-CN"/>
        </w:rPr>
        <w:t>与卫星运营商仍在详谈</w:t>
      </w:r>
      <w:r>
        <w:rPr>
          <w:rFonts w:eastAsia="宋体" w:cs="Verdana"/>
          <w:lang w:eastAsia="zh-CN"/>
        </w:rPr>
        <w:t>WMO</w:t>
      </w:r>
      <w:r>
        <w:rPr>
          <w:rFonts w:hint="eastAsia" w:ascii="宋体" w:hAnsi="宋体" w:eastAsia="宋体" w:cs="宋体"/>
          <w:lang w:eastAsia="zh-CN"/>
        </w:rPr>
        <w:t>统一数据政策对卫星数据的影响。</w:t>
      </w:r>
    </w:p>
    <w:p>
      <w:pPr>
        <w:pStyle w:val="109"/>
        <w:spacing w:before="240" w:after="0" w:line="240" w:lineRule="auto"/>
        <w:ind w:left="0" w:firstLine="0"/>
        <w:rPr>
          <w:lang w:eastAsia="zh-CN"/>
        </w:rPr>
      </w:pPr>
      <w:bookmarkStart w:id="6" w:name="_p_B758AC2DA5C5EF459F628A49D872B102"/>
      <w:bookmarkEnd w:id="6"/>
      <w:bookmarkStart w:id="7" w:name="_p_2EB61CFB2FBE8D44A3547F43C216B7D1"/>
      <w:bookmarkEnd w:id="7"/>
      <w:bookmarkStart w:id="8" w:name="_p_F67457142C0B7B4CA0F90874836E57C5"/>
      <w:bookmarkEnd w:id="8"/>
      <w:bookmarkStart w:id="9" w:name="_p_65C8C62ED449E6458B08A04AA16DCAB5"/>
      <w:bookmarkEnd w:id="9"/>
    </w:p>
    <w:p>
      <w:pPr>
        <w:pStyle w:val="117"/>
        <w:spacing w:before="0" w:line="240" w:lineRule="auto"/>
        <w:outlineLvl w:val="1"/>
        <w:rPr>
          <w:rFonts w:ascii="微软雅黑" w:hAnsi="微软雅黑" w:eastAsia="微软雅黑" w:cs="微软雅黑"/>
          <w:sz w:val="24"/>
          <w:szCs w:val="24"/>
          <w:lang w:eastAsia="zh-CN"/>
        </w:rPr>
      </w:pPr>
      <w:r>
        <w:rPr>
          <w:sz w:val="24"/>
          <w:szCs w:val="24"/>
          <w:lang w:eastAsia="zh-CN"/>
        </w:rPr>
        <w:t xml:space="preserve">2. </w:t>
      </w:r>
      <w:r>
        <w:rPr>
          <w:sz w:val="24"/>
          <w:szCs w:val="24"/>
          <w:lang w:eastAsia="zh-CN"/>
        </w:rPr>
        <w:tab/>
      </w:r>
      <w:r>
        <w:rPr>
          <w:sz w:val="24"/>
          <w:szCs w:val="24"/>
          <w:lang w:eastAsia="zh-CN"/>
        </w:rPr>
        <w:t>GBON</w:t>
      </w:r>
      <w:r>
        <w:rPr>
          <w:rFonts w:hint="eastAsia" w:ascii="微软雅黑" w:hAnsi="微软雅黑" w:eastAsia="微软雅黑" w:cs="微软雅黑"/>
          <w:sz w:val="24"/>
          <w:szCs w:val="24"/>
          <w:lang w:eastAsia="zh-CN"/>
        </w:rPr>
        <w:t>要求</w:t>
      </w:r>
    </w:p>
    <w:p>
      <w:pPr>
        <w:pStyle w:val="117"/>
        <w:spacing w:line="240" w:lineRule="auto"/>
        <w:outlineLvl w:val="2"/>
        <w:rPr>
          <w:rFonts w:ascii="微软雅黑" w:hAnsi="微软雅黑" w:eastAsia="微软雅黑" w:cs="微软雅黑"/>
          <w:lang w:eastAsia="zh-CN"/>
        </w:rPr>
      </w:pPr>
      <w:r>
        <w:rPr>
          <w:lang w:eastAsia="zh-CN"/>
        </w:rPr>
        <w:t xml:space="preserve">2.1 </w:t>
      </w:r>
      <w:r>
        <w:rPr>
          <w:lang w:eastAsia="zh-CN"/>
        </w:rPr>
        <w:tab/>
      </w:r>
      <w:r>
        <w:rPr>
          <w:lang w:eastAsia="zh-CN"/>
        </w:rPr>
        <w:t>GBON</w:t>
      </w:r>
      <w:r>
        <w:rPr>
          <w:rFonts w:hint="eastAsia" w:ascii="微软雅黑" w:hAnsi="微软雅黑" w:eastAsia="微软雅黑" w:cs="微软雅黑"/>
          <w:lang w:eastAsia="zh-CN"/>
        </w:rPr>
        <w:t>标准要求</w:t>
      </w:r>
    </w:p>
    <w:p>
      <w:pPr>
        <w:spacing w:after="240" w:line="240" w:lineRule="exact"/>
        <w:rPr>
          <w:rFonts w:ascii="宋体" w:hAnsi="宋体" w:eastAsia="宋体" w:cs="宋体"/>
          <w:lang w:val="en-US" w:eastAsia="zh-CN"/>
        </w:rPr>
      </w:pPr>
      <w:r>
        <w:rPr>
          <w:rFonts w:hint="eastAsia"/>
          <w:lang w:eastAsia="zh-CN"/>
        </w:rPr>
        <w:t>GBON</w:t>
      </w:r>
      <w:r>
        <w:rPr>
          <w:rFonts w:hint="eastAsia" w:ascii="宋体" w:hAnsi="宋体" w:eastAsia="宋体" w:cs="宋体"/>
          <w:lang w:eastAsia="zh-CN"/>
        </w:rPr>
        <w:t>的总体目标是确保向全球</w:t>
      </w:r>
      <w:r>
        <w:rPr>
          <w:rFonts w:eastAsia="宋体" w:cs="Verdana"/>
          <w:lang w:eastAsia="zh-CN"/>
        </w:rPr>
        <w:t>NWP</w:t>
      </w:r>
      <w:r>
        <w:rPr>
          <w:rFonts w:hint="eastAsia" w:ascii="宋体" w:hAnsi="宋体" w:eastAsia="宋体" w:cs="宋体"/>
          <w:lang w:eastAsia="zh-CN"/>
        </w:rPr>
        <w:t>中心提供</w:t>
      </w:r>
      <w:r>
        <w:rPr>
          <w:rFonts w:hint="eastAsia" w:ascii="宋体" w:hAnsi="宋体" w:eastAsia="宋体" w:cs="宋体"/>
          <w:lang w:val="en-US" w:eastAsia="zh-CN"/>
        </w:rPr>
        <w:t>充足</w:t>
      </w:r>
      <w:r>
        <w:rPr>
          <w:rFonts w:hint="eastAsia" w:ascii="宋体" w:hAnsi="宋体" w:eastAsia="宋体" w:cs="宋体"/>
          <w:lang w:eastAsia="zh-CN"/>
        </w:rPr>
        <w:t>的观测数据，这些中心</w:t>
      </w:r>
      <w:r>
        <w:rPr>
          <w:rFonts w:hint="eastAsia" w:ascii="宋体" w:hAnsi="宋体" w:eastAsia="宋体" w:cs="宋体"/>
          <w:lang w:val="en-US" w:eastAsia="zh-CN"/>
        </w:rPr>
        <w:t>进而</w:t>
      </w:r>
      <w:r>
        <w:rPr>
          <w:rFonts w:hint="eastAsia" w:ascii="宋体" w:hAnsi="宋体" w:eastAsia="宋体" w:cs="宋体"/>
          <w:lang w:eastAsia="zh-CN"/>
        </w:rPr>
        <w:t>为所有会员提供模式产品。“</w:t>
      </w:r>
      <w:r>
        <w:rPr>
          <w:rFonts w:hint="eastAsia" w:ascii="宋体" w:hAnsi="宋体" w:eastAsia="宋体" w:cs="宋体"/>
          <w:lang w:val="en-US" w:eastAsia="zh-CN"/>
        </w:rPr>
        <w:t>充足</w:t>
      </w:r>
      <w:r>
        <w:rPr>
          <w:rFonts w:hint="eastAsia" w:ascii="宋体" w:hAnsi="宋体" w:eastAsia="宋体" w:cs="宋体"/>
          <w:lang w:eastAsia="zh-CN"/>
        </w:rPr>
        <w:t>”</w:t>
      </w:r>
      <w:r>
        <w:rPr>
          <w:rFonts w:hint="eastAsia" w:ascii="宋体" w:hAnsi="宋体" w:eastAsia="宋体" w:cs="宋体"/>
          <w:lang w:val="en-US" w:eastAsia="zh-CN"/>
        </w:rPr>
        <w:t>是指</w:t>
      </w:r>
      <w:r>
        <w:rPr>
          <w:rFonts w:eastAsia="宋体" w:cs="Verdana"/>
          <w:lang w:val="en-US" w:eastAsia="zh-CN"/>
        </w:rPr>
        <w:t>(i)</w:t>
      </w:r>
      <w:r>
        <w:rPr>
          <w:rFonts w:hint="eastAsia" w:ascii="宋体" w:hAnsi="宋体" w:eastAsia="宋体" w:cs="宋体"/>
          <w:lang w:val="en-US" w:eastAsia="zh-CN"/>
        </w:rPr>
        <w:t>最重要变量的测量结果，</w:t>
      </w:r>
      <w:r>
        <w:rPr>
          <w:rFonts w:eastAsia="宋体" w:cs="Verdana"/>
          <w:lang w:val="en-US" w:eastAsia="zh-CN"/>
        </w:rPr>
        <w:t>(ii)</w:t>
      </w:r>
      <w:r>
        <w:rPr>
          <w:rFonts w:hint="eastAsia" w:ascii="宋体" w:hAnsi="宋体" w:eastAsia="宋体" w:cs="宋体"/>
          <w:lang w:val="en-US" w:eastAsia="zh-CN"/>
        </w:rPr>
        <w:t>以充足的空间密度进行测量，以及</w:t>
      </w:r>
      <w:r>
        <w:rPr>
          <w:rFonts w:eastAsia="宋体" w:cs="Verdana"/>
          <w:lang w:val="en-US" w:eastAsia="zh-CN"/>
        </w:rPr>
        <w:t>(iii)</w:t>
      </w:r>
      <w:r>
        <w:rPr>
          <w:rFonts w:hint="eastAsia" w:ascii="宋体" w:hAnsi="宋体" w:eastAsia="宋体" w:cs="宋体"/>
          <w:lang w:val="en-US" w:eastAsia="zh-CN"/>
        </w:rPr>
        <w:t>按充足的时间频率报告测量结果。</w:t>
      </w:r>
    </w:p>
    <w:p>
      <w:pPr>
        <w:spacing w:after="240" w:line="240" w:lineRule="exact"/>
        <w:rPr>
          <w:rFonts w:ascii="宋体" w:hAnsi="宋体" w:eastAsia="宋体" w:cs="宋体"/>
          <w:lang w:eastAsia="zh-CN"/>
        </w:rPr>
      </w:pPr>
      <w:r>
        <w:rPr>
          <w:rFonts w:hint="eastAsia" w:ascii="宋体" w:hAnsi="宋体" w:eastAsia="宋体" w:cs="宋体"/>
          <w:lang w:eastAsia="zh-CN"/>
        </w:rPr>
        <w:t>如适用，会员在一组地面站/平台上观测的变量至少包括大气压力（</w:t>
      </w:r>
      <w:r>
        <w:rPr>
          <w:rFonts w:eastAsia="宋体" w:cs="Verdana"/>
          <w:lang w:eastAsia="zh-CN"/>
        </w:rPr>
        <w:t>SLP</w:t>
      </w:r>
      <w:r>
        <w:rPr>
          <w:rFonts w:hint="eastAsia" w:ascii="宋体" w:hAnsi="宋体" w:eastAsia="宋体" w:cs="宋体"/>
          <w:lang w:eastAsia="zh-CN"/>
        </w:rPr>
        <w:t>）、气温（</w:t>
      </w:r>
      <w:r>
        <w:rPr>
          <w:rFonts w:eastAsia="宋体" w:cs="Verdana"/>
          <w:lang w:eastAsia="zh-CN"/>
        </w:rPr>
        <w:t>T</w:t>
      </w:r>
      <w:r>
        <w:rPr>
          <w:rFonts w:hint="eastAsia" w:ascii="宋体" w:hAnsi="宋体" w:eastAsia="宋体" w:cs="宋体"/>
          <w:lang w:eastAsia="zh-CN"/>
        </w:rPr>
        <w:t>）、湿度（</w:t>
      </w:r>
      <w:r>
        <w:rPr>
          <w:rFonts w:eastAsia="宋体" w:cs="Verdana"/>
          <w:lang w:eastAsia="zh-CN"/>
        </w:rPr>
        <w:t>H</w:t>
      </w:r>
      <w:r>
        <w:rPr>
          <w:rFonts w:hint="eastAsia" w:ascii="宋体" w:hAnsi="宋体" w:eastAsia="宋体" w:cs="宋体"/>
          <w:lang w:eastAsia="zh-CN"/>
        </w:rPr>
        <w:t>）、水平风（</w:t>
      </w:r>
      <w:r>
        <w:rPr>
          <w:rFonts w:eastAsia="宋体" w:cs="Verdana"/>
          <w:lang w:eastAsia="zh-CN"/>
        </w:rPr>
        <w:t>W</w:t>
      </w:r>
      <w:r>
        <w:rPr>
          <w:rFonts w:hint="eastAsia" w:ascii="宋体" w:hAnsi="宋体" w:eastAsia="宋体" w:cs="宋体"/>
          <w:lang w:eastAsia="zh-CN"/>
        </w:rPr>
        <w:t>）、降水量（</w:t>
      </w:r>
      <w:r>
        <w:rPr>
          <w:rFonts w:eastAsia="宋体" w:cs="Verdana"/>
          <w:lang w:eastAsia="zh-CN"/>
        </w:rPr>
        <w:t>P</w:t>
      </w:r>
      <w:r>
        <w:rPr>
          <w:rFonts w:hint="eastAsia" w:ascii="宋体" w:hAnsi="宋体" w:eastAsia="宋体" w:cs="宋体"/>
          <w:lang w:eastAsia="zh-CN"/>
        </w:rPr>
        <w:t>）和雪深（</w:t>
      </w:r>
      <w:r>
        <w:rPr>
          <w:rFonts w:eastAsia="宋体" w:cs="Verdana"/>
          <w:lang w:eastAsia="zh-CN"/>
        </w:rPr>
        <w:t>SD</w:t>
      </w:r>
      <w:r>
        <w:rPr>
          <w:rFonts w:hint="eastAsia" w:ascii="宋体" w:hAnsi="宋体" w:eastAsia="宋体" w:cs="宋体"/>
          <w:lang w:eastAsia="zh-CN"/>
        </w:rPr>
        <w:t>）。</w:t>
      </w:r>
    </w:p>
    <w:p>
      <w:pPr>
        <w:pStyle w:val="2"/>
        <w:rPr>
          <w:rFonts w:ascii="宋体" w:hAnsi="宋体" w:eastAsia="宋体" w:cs="宋体"/>
          <w:lang w:eastAsia="zh-CN"/>
        </w:rPr>
      </w:pPr>
      <w:r>
        <w:rPr>
          <w:rFonts w:hint="eastAsia" w:ascii="宋体" w:hAnsi="宋体" w:eastAsia="宋体" w:cs="宋体"/>
          <w:lang w:eastAsia="zh-CN"/>
        </w:rPr>
        <w:t>会员在一组高空</w:t>
      </w:r>
      <w:r>
        <w:rPr>
          <w:rFonts w:hint="eastAsia" w:ascii="宋体" w:hAnsi="宋体" w:eastAsia="宋体" w:cs="宋体"/>
          <w:lang w:val="en-US" w:eastAsia="zh-CN"/>
        </w:rPr>
        <w:t>陆地</w:t>
      </w:r>
      <w:r>
        <w:rPr>
          <w:rFonts w:hint="eastAsia" w:ascii="宋体" w:hAnsi="宋体" w:eastAsia="宋体" w:cs="宋体"/>
          <w:lang w:eastAsia="zh-CN"/>
        </w:rPr>
        <w:t>站/平台上观测的变量，至少包括气温（</w:t>
      </w:r>
      <w:r>
        <w:rPr>
          <w:rFonts w:eastAsia="宋体" w:cs="Verdana"/>
          <w:lang w:eastAsia="zh-CN"/>
        </w:rPr>
        <w:t>T</w:t>
      </w:r>
      <w:r>
        <w:rPr>
          <w:rFonts w:hint="eastAsia" w:ascii="宋体" w:hAnsi="宋体" w:eastAsia="宋体" w:cs="宋体"/>
          <w:lang w:eastAsia="zh-CN"/>
        </w:rPr>
        <w:t>）、湿度（</w:t>
      </w:r>
      <w:r>
        <w:rPr>
          <w:rFonts w:eastAsia="宋体" w:cs="Verdana"/>
          <w:lang w:eastAsia="zh-CN"/>
        </w:rPr>
        <w:t>H</w:t>
      </w:r>
      <w:r>
        <w:rPr>
          <w:rFonts w:hint="eastAsia" w:ascii="宋体" w:hAnsi="宋体" w:eastAsia="宋体" w:cs="宋体"/>
          <w:lang w:eastAsia="zh-CN"/>
        </w:rPr>
        <w:t>）和水平风（</w:t>
      </w:r>
      <w:r>
        <w:rPr>
          <w:rFonts w:eastAsia="宋体" w:cs="Verdana"/>
          <w:lang w:eastAsia="zh-CN"/>
        </w:rPr>
        <w:t>W</w:t>
      </w:r>
      <w:r>
        <w:rPr>
          <w:rFonts w:hint="eastAsia" w:ascii="宋体" w:hAnsi="宋体" w:eastAsia="宋体" w:cs="宋体"/>
          <w:lang w:eastAsia="zh-CN"/>
        </w:rPr>
        <w:t>）。</w:t>
      </w:r>
    </w:p>
    <w:p>
      <w:pPr>
        <w:pStyle w:val="2"/>
        <w:rPr>
          <w:rFonts w:ascii="宋体" w:hAnsi="宋体" w:eastAsia="宋体" w:cs="宋体"/>
          <w:lang w:eastAsia="zh-CN"/>
        </w:rPr>
      </w:pPr>
      <w:r>
        <w:rPr>
          <w:rFonts w:hint="eastAsia" w:ascii="宋体" w:hAnsi="宋体" w:eastAsia="宋体" w:cs="宋体"/>
          <w:lang w:eastAsia="zh-CN"/>
        </w:rPr>
        <w:t>在专属经济区或管辖范围相应海域内的一组海面气象观测站/平台上，各会员观测的变量至少包括大气压力（</w:t>
      </w:r>
      <w:r>
        <w:rPr>
          <w:rFonts w:eastAsia="宋体" w:cs="Verdana"/>
          <w:lang w:eastAsia="zh-CN"/>
        </w:rPr>
        <w:t>SLP</w:t>
      </w:r>
      <w:r>
        <w:rPr>
          <w:rFonts w:hint="eastAsia" w:ascii="宋体" w:hAnsi="宋体" w:eastAsia="宋体" w:cs="宋体"/>
          <w:lang w:eastAsia="zh-CN"/>
        </w:rPr>
        <w:t>）和海面温度（</w:t>
      </w:r>
      <w:r>
        <w:rPr>
          <w:rFonts w:eastAsia="宋体" w:cs="Verdana"/>
          <w:lang w:eastAsia="zh-CN"/>
        </w:rPr>
        <w:t>SST</w:t>
      </w:r>
      <w:r>
        <w:rPr>
          <w:rFonts w:hint="eastAsia" w:ascii="宋体" w:hAnsi="宋体" w:eastAsia="宋体" w:cs="宋体"/>
          <w:lang w:eastAsia="zh-CN"/>
        </w:rPr>
        <w:t>）。</w:t>
      </w:r>
    </w:p>
    <w:p>
      <w:pPr>
        <w:spacing w:after="240" w:line="240" w:lineRule="exact"/>
        <w:rPr>
          <w:rFonts w:eastAsia="Calibri" w:cs="Calibri"/>
          <w:lang w:eastAsia="zh-CN"/>
        </w:rPr>
      </w:pPr>
      <w:r>
        <w:rPr>
          <w:rFonts w:hint="eastAsia" w:ascii="宋体" w:hAnsi="宋体" w:eastAsia="宋体" w:cs="宋体"/>
          <w:lang w:eastAsia="zh-CN"/>
        </w:rPr>
        <w:t>根据</w:t>
      </w:r>
      <w:r>
        <w:rPr>
          <w:rFonts w:eastAsia="宋体" w:cs="Verdana"/>
          <w:lang w:eastAsia="zh-CN"/>
        </w:rPr>
        <w:t>GBON</w:t>
      </w:r>
      <w:r>
        <w:rPr>
          <w:rFonts w:hint="eastAsia" w:ascii="宋体" w:hAnsi="宋体" w:eastAsia="宋体" w:cs="宋体"/>
          <w:lang w:eastAsia="zh-CN"/>
        </w:rPr>
        <w:t>有关“</w:t>
      </w:r>
      <w:r>
        <w:rPr>
          <w:rFonts w:hint="eastAsia" w:ascii="宋体" w:hAnsi="宋体" w:eastAsia="宋体" w:cs="宋体"/>
          <w:lang w:val="en-US" w:eastAsia="zh-CN"/>
        </w:rPr>
        <w:t>必</w:t>
      </w:r>
      <w:r>
        <w:rPr>
          <w:rFonts w:hint="eastAsia" w:ascii="宋体" w:hAnsi="宋体" w:eastAsia="宋体" w:cs="宋体"/>
          <w:lang w:eastAsia="zh-CN"/>
        </w:rPr>
        <w:t>须”（加粗）和“应</w:t>
      </w:r>
      <w:r>
        <w:rPr>
          <w:rFonts w:hint="eastAsia" w:ascii="宋体" w:hAnsi="宋体" w:eastAsia="宋体" w:cs="宋体"/>
          <w:lang w:val="en-US" w:eastAsia="zh-CN"/>
        </w:rPr>
        <w:t>该</w:t>
      </w:r>
      <w:r>
        <w:rPr>
          <w:rFonts w:hint="eastAsia" w:ascii="宋体" w:hAnsi="宋体" w:eastAsia="宋体" w:cs="宋体"/>
          <w:lang w:eastAsia="zh-CN"/>
        </w:rPr>
        <w:t>”在时空方面的规定，下表</w:t>
      </w:r>
      <w:r>
        <w:rPr>
          <w:rFonts w:eastAsia="宋体" w:cs="Verdana"/>
          <w:lang w:eastAsia="zh-CN"/>
        </w:rPr>
        <w:t>2.1</w:t>
      </w:r>
      <w:r>
        <w:rPr>
          <w:rFonts w:hint="eastAsia" w:ascii="宋体" w:hAnsi="宋体" w:eastAsia="宋体" w:cs="宋体"/>
          <w:lang w:eastAsia="zh-CN"/>
        </w:rPr>
        <w:t>概述了不同类型观测站的</w:t>
      </w:r>
      <w:r>
        <w:rPr>
          <w:rFonts w:eastAsia="宋体" w:cs="Verdana"/>
          <w:lang w:eastAsia="zh-CN"/>
        </w:rPr>
        <w:t>GBON</w:t>
      </w:r>
      <w:r>
        <w:rPr>
          <w:rFonts w:hint="eastAsia" w:eastAsia="宋体" w:cs="Verdana"/>
          <w:lang w:eastAsia="zh-CN"/>
        </w:rPr>
        <w:t>台</w:t>
      </w:r>
      <w:r>
        <w:rPr>
          <w:rFonts w:hint="eastAsia" w:ascii="宋体" w:hAnsi="宋体" w:eastAsia="宋体" w:cs="宋体"/>
          <w:lang w:eastAsia="zh-CN"/>
        </w:rPr>
        <w:t>站级要求。</w:t>
      </w:r>
    </w:p>
    <w:p>
      <w:pPr>
        <w:spacing w:before="240" w:after="240"/>
        <w:jc w:val="center"/>
        <w:rPr>
          <w:rFonts w:ascii="微软雅黑" w:hAnsi="微软雅黑" w:eastAsia="微软雅黑" w:cs="微软雅黑"/>
          <w:lang w:eastAsia="zh-CN"/>
        </w:rPr>
      </w:pPr>
      <w:r>
        <w:rPr>
          <w:rFonts w:hint="eastAsia" w:ascii="微软雅黑" w:hAnsi="微软雅黑" w:eastAsia="微软雅黑" w:cs="微软雅黑"/>
          <w:b/>
          <w:bCs/>
          <w:lang w:eastAsia="zh-CN"/>
        </w:rPr>
        <w:t>表</w:t>
      </w:r>
      <w:r>
        <w:rPr>
          <w:b/>
          <w:bCs/>
          <w:lang w:eastAsia="zh-CN"/>
        </w:rPr>
        <w:t xml:space="preserve">2.1. </w:t>
      </w:r>
      <w:r>
        <w:rPr>
          <w:rFonts w:hint="eastAsia"/>
          <w:b/>
          <w:bCs/>
          <w:lang w:eastAsia="zh-CN"/>
        </w:rPr>
        <w:t>GBON</w:t>
      </w:r>
      <w:r>
        <w:rPr>
          <w:rFonts w:hint="eastAsia" w:ascii="微软雅黑" w:hAnsi="微软雅黑" w:eastAsia="微软雅黑" w:cs="微软雅黑"/>
          <w:b/>
          <w:bCs/>
          <w:lang w:eastAsia="zh-CN"/>
        </w:rPr>
        <w:t>对不同类型观测站的要求汇总，加粗部分表示“必须”达到的要求。</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1447"/>
        <w:gridCol w:w="1447"/>
        <w:gridCol w:w="1392"/>
        <w:gridCol w:w="1609"/>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blHeader/>
          <w:jc w:val="center"/>
        </w:trPr>
        <w:tc>
          <w:tcPr>
            <w:tcW w:w="997" w:type="pct"/>
            <w:tcBorders>
              <w:top w:val="single" w:color="auto" w:sz="6" w:space="0"/>
              <w:left w:val="single" w:color="auto" w:sz="6" w:space="0"/>
              <w:bottom w:val="single" w:color="auto" w:sz="6" w:space="0"/>
              <w:right w:val="single" w:color="auto" w:sz="6" w:space="0"/>
            </w:tcBorders>
            <w:shd w:val="clear" w:color="auto" w:fill="E5DFEC" w:themeFill="accent4" w:themeFillTint="33"/>
            <w:vAlign w:val="center"/>
          </w:tcPr>
          <w:p>
            <w:pPr>
              <w:spacing w:before="60" w:after="60"/>
              <w:jc w:val="center"/>
              <w:rPr>
                <w:rFonts w:eastAsia="Calibri" w:cs="Calibri"/>
                <w:sz w:val="20"/>
                <w:szCs w:val="20"/>
                <w:lang w:eastAsia="zh-CN"/>
              </w:rPr>
            </w:pPr>
          </w:p>
        </w:tc>
        <w:tc>
          <w:tcPr>
            <w:tcW w:w="734" w:type="pct"/>
            <w:tcBorders>
              <w:top w:val="single" w:color="auto" w:sz="6" w:space="0"/>
              <w:left w:val="single" w:color="auto" w:sz="6" w:space="0"/>
              <w:bottom w:val="single" w:color="auto" w:sz="6" w:space="0"/>
              <w:right w:val="single" w:color="auto" w:sz="6" w:space="0"/>
            </w:tcBorders>
            <w:shd w:val="clear" w:color="auto" w:fill="E5DFEC" w:themeFill="accent4" w:themeFillTint="33"/>
            <w:vAlign w:val="center"/>
          </w:tcPr>
          <w:p>
            <w:pPr>
              <w:spacing w:before="60" w:after="60"/>
              <w:jc w:val="center"/>
              <w:rPr>
                <w:rFonts w:ascii="微软雅黑" w:hAnsi="微软雅黑" w:eastAsia="微软雅黑" w:cs="微软雅黑"/>
                <w:b/>
                <w:bCs/>
                <w:sz w:val="20"/>
                <w:szCs w:val="20"/>
                <w:lang w:eastAsia="en-US"/>
              </w:rPr>
            </w:pPr>
            <w:r>
              <w:rPr>
                <w:rFonts w:hint="eastAsia" w:ascii="微软雅黑" w:hAnsi="微软雅黑" w:eastAsia="微软雅黑" w:cs="微软雅黑"/>
                <w:b/>
                <w:bCs/>
                <w:sz w:val="20"/>
                <w:szCs w:val="20"/>
                <w:lang w:eastAsia="en-US"/>
              </w:rPr>
              <w:t>水平分辨率</w:t>
            </w:r>
          </w:p>
        </w:tc>
        <w:tc>
          <w:tcPr>
            <w:tcW w:w="734" w:type="pct"/>
            <w:tcBorders>
              <w:top w:val="single" w:color="auto" w:sz="6" w:space="0"/>
              <w:left w:val="single" w:color="auto" w:sz="6" w:space="0"/>
              <w:bottom w:val="single" w:color="auto" w:sz="6" w:space="0"/>
              <w:right w:val="single" w:color="auto" w:sz="6" w:space="0"/>
            </w:tcBorders>
            <w:shd w:val="clear" w:color="auto" w:fill="E5DFEC" w:themeFill="accent4" w:themeFillTint="33"/>
            <w:vAlign w:val="center"/>
          </w:tcPr>
          <w:p>
            <w:pPr>
              <w:spacing w:before="60" w:after="60"/>
              <w:jc w:val="center"/>
              <w:rPr>
                <w:rFonts w:ascii="微软雅黑" w:hAnsi="微软雅黑" w:eastAsia="微软雅黑" w:cs="微软雅黑"/>
                <w:b/>
                <w:bCs/>
                <w:sz w:val="20"/>
                <w:szCs w:val="20"/>
                <w:lang w:eastAsia="en-US"/>
              </w:rPr>
            </w:pPr>
            <w:r>
              <w:rPr>
                <w:rFonts w:hint="eastAsia" w:ascii="微软雅黑" w:hAnsi="微软雅黑" w:eastAsia="微软雅黑" w:cs="微软雅黑"/>
                <w:b/>
                <w:bCs/>
                <w:sz w:val="20"/>
                <w:szCs w:val="20"/>
                <w:lang w:eastAsia="en-US"/>
              </w:rPr>
              <w:t>垂直分辨率</w:t>
            </w:r>
          </w:p>
        </w:tc>
        <w:tc>
          <w:tcPr>
            <w:tcW w:w="706" w:type="pct"/>
            <w:tcBorders>
              <w:top w:val="single" w:color="auto" w:sz="6" w:space="0"/>
              <w:left w:val="single" w:color="auto" w:sz="6" w:space="0"/>
              <w:bottom w:val="single" w:color="auto" w:sz="6" w:space="0"/>
              <w:right w:val="single" w:color="auto" w:sz="6" w:space="0"/>
            </w:tcBorders>
            <w:shd w:val="clear" w:color="auto" w:fill="E5DFEC" w:themeFill="accent4" w:themeFillTint="33"/>
            <w:vAlign w:val="center"/>
          </w:tcPr>
          <w:p>
            <w:pPr>
              <w:spacing w:before="60" w:after="60"/>
              <w:jc w:val="center"/>
              <w:rPr>
                <w:rFonts w:ascii="微软雅黑" w:hAnsi="微软雅黑" w:eastAsia="微软雅黑" w:cs="微软雅黑"/>
                <w:b/>
                <w:bCs/>
                <w:sz w:val="20"/>
                <w:szCs w:val="20"/>
                <w:lang w:eastAsia="en-US"/>
              </w:rPr>
            </w:pPr>
            <w:r>
              <w:rPr>
                <w:rFonts w:hint="eastAsia" w:ascii="微软雅黑" w:hAnsi="微软雅黑" w:eastAsia="微软雅黑" w:cs="微软雅黑"/>
                <w:b/>
                <w:bCs/>
                <w:sz w:val="20"/>
                <w:szCs w:val="20"/>
                <w:lang w:eastAsia="en-US"/>
              </w:rPr>
              <w:t>观测周期</w:t>
            </w:r>
          </w:p>
        </w:tc>
        <w:tc>
          <w:tcPr>
            <w:tcW w:w="816" w:type="pct"/>
            <w:tcBorders>
              <w:top w:val="single" w:color="auto" w:sz="6" w:space="0"/>
              <w:left w:val="single" w:color="auto" w:sz="6" w:space="0"/>
              <w:bottom w:val="single" w:color="auto" w:sz="6" w:space="0"/>
              <w:right w:val="single" w:color="auto" w:sz="6" w:space="0"/>
            </w:tcBorders>
            <w:shd w:val="clear" w:color="auto" w:fill="E5DFEC" w:themeFill="accent4" w:themeFillTint="33"/>
            <w:vAlign w:val="center"/>
          </w:tcPr>
          <w:p>
            <w:pPr>
              <w:spacing w:before="60" w:after="60"/>
              <w:jc w:val="center"/>
              <w:rPr>
                <w:rFonts w:ascii="微软雅黑" w:hAnsi="微软雅黑" w:eastAsia="微软雅黑" w:cs="微软雅黑"/>
                <w:b/>
                <w:bCs/>
                <w:sz w:val="20"/>
                <w:szCs w:val="20"/>
                <w:lang w:eastAsia="en-US"/>
              </w:rPr>
            </w:pPr>
            <w:r>
              <w:rPr>
                <w:rFonts w:hint="eastAsia" w:ascii="微软雅黑" w:hAnsi="微软雅黑" w:eastAsia="微软雅黑" w:cs="微软雅黑"/>
                <w:b/>
                <w:bCs/>
                <w:sz w:val="20"/>
                <w:szCs w:val="20"/>
                <w:lang w:eastAsia="en-US"/>
              </w:rPr>
              <w:t>变量</w:t>
            </w:r>
          </w:p>
        </w:tc>
        <w:tc>
          <w:tcPr>
            <w:tcW w:w="1011" w:type="pct"/>
            <w:tcBorders>
              <w:top w:val="single" w:color="auto" w:sz="6" w:space="0"/>
              <w:left w:val="single" w:color="auto" w:sz="6" w:space="0"/>
              <w:bottom w:val="single" w:color="auto" w:sz="6" w:space="0"/>
              <w:right w:val="single" w:color="auto" w:sz="6" w:space="0"/>
            </w:tcBorders>
            <w:shd w:val="clear" w:color="auto" w:fill="E5DFEC" w:themeFill="accent4" w:themeFillTint="33"/>
            <w:vAlign w:val="center"/>
          </w:tcPr>
          <w:p>
            <w:pPr>
              <w:spacing w:before="60" w:after="60"/>
              <w:jc w:val="center"/>
              <w:rPr>
                <w:rFonts w:ascii="微软雅黑" w:hAnsi="微软雅黑" w:eastAsia="微软雅黑" w:cs="微软雅黑"/>
                <w:b/>
                <w:bCs/>
                <w:sz w:val="20"/>
                <w:szCs w:val="20"/>
                <w:lang w:eastAsia="en-US"/>
              </w:rPr>
            </w:pPr>
            <w:r>
              <w:rPr>
                <w:rFonts w:hint="eastAsia" w:ascii="微软雅黑" w:hAnsi="微软雅黑" w:eastAsia="微软雅黑" w:cs="微软雅黑"/>
                <w:b/>
                <w:bCs/>
                <w:sz w:val="20"/>
                <w:szCs w:val="20"/>
                <w:lang w:eastAsia="en-US"/>
              </w:rPr>
              <w:t>其它要求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tcBorders>
              <w:top w:val="single" w:color="auto" w:sz="6" w:space="0"/>
              <w:left w:val="single" w:color="auto" w:sz="6" w:space="0"/>
              <w:bottom w:val="single" w:color="auto" w:sz="6" w:space="0"/>
              <w:right w:val="single" w:color="auto" w:sz="6" w:space="0"/>
            </w:tcBorders>
            <w:shd w:val="clear" w:color="auto" w:fill="E5DFEC" w:themeFill="accent4" w:themeFillTint="33"/>
            <w:vAlign w:val="center"/>
          </w:tcPr>
          <w:p>
            <w:pPr>
              <w:spacing w:before="60" w:after="60"/>
              <w:rPr>
                <w:rFonts w:eastAsia="Calibri" w:cs="Calibri"/>
                <w:sz w:val="20"/>
                <w:szCs w:val="20"/>
                <w:lang w:eastAsia="en-US"/>
              </w:rPr>
            </w:pPr>
            <w:r>
              <w:rPr>
                <w:rFonts w:hint="eastAsia" w:ascii="微软雅黑" w:hAnsi="微软雅黑" w:eastAsia="微软雅黑" w:cs="微软雅黑"/>
                <w:b/>
                <w:bCs/>
                <w:sz w:val="20"/>
                <w:szCs w:val="20"/>
                <w:lang w:eastAsia="en-US"/>
              </w:rPr>
              <w:t>地面</w:t>
            </w:r>
            <w:r>
              <w:rPr>
                <w:rFonts w:hint="eastAsia" w:ascii="微软雅黑" w:hAnsi="微软雅黑" w:eastAsia="微软雅黑" w:cs="微软雅黑"/>
                <w:b/>
                <w:bCs/>
                <w:sz w:val="20"/>
                <w:szCs w:val="20"/>
                <w:lang w:eastAsia="zh-CN"/>
              </w:rPr>
              <w:t>观测</w:t>
            </w:r>
            <w:r>
              <w:rPr>
                <w:rFonts w:hint="eastAsia" w:ascii="微软雅黑" w:hAnsi="微软雅黑" w:eastAsia="微软雅黑" w:cs="微软雅黑"/>
                <w:b/>
                <w:bCs/>
                <w:sz w:val="20"/>
                <w:szCs w:val="20"/>
                <w:lang w:eastAsia="en-US"/>
              </w:rPr>
              <w:t>站</w:t>
            </w:r>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b/>
                <w:bCs/>
                <w:sz w:val="20"/>
                <w:szCs w:val="20"/>
                <w:lang w:eastAsia="en-US"/>
              </w:rPr>
              <w:t>200 km</w:t>
            </w:r>
            <w:r>
              <w:rPr>
                <w:rFonts w:eastAsia="Calibri" w:cs="Calibri"/>
                <w:sz w:val="20"/>
                <w:szCs w:val="20"/>
                <w:lang w:eastAsia="en-US"/>
              </w:rPr>
              <w:t xml:space="preserve"> 100 km</w:t>
            </w:r>
            <w:bookmarkStart w:id="10" w:name="_Ref116654333"/>
            <w:r>
              <w:rPr>
                <w:rStyle w:val="45"/>
                <w:rFonts w:eastAsia="Calibri" w:cs="Calibri"/>
                <w:sz w:val="20"/>
                <w:szCs w:val="20"/>
                <w:lang w:eastAsia="en-US"/>
              </w:rPr>
              <w:footnoteReference w:id="0"/>
            </w:r>
            <w:bookmarkEnd w:id="10"/>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sz w:val="20"/>
                <w:szCs w:val="20"/>
                <w:lang w:eastAsia="en-US"/>
              </w:rPr>
              <w:t>n/a</w:t>
            </w:r>
          </w:p>
        </w:tc>
        <w:tc>
          <w:tcPr>
            <w:tcW w:w="70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en-US"/>
              </w:rPr>
            </w:pPr>
            <w:r>
              <w:rPr>
                <w:rFonts w:eastAsia="Calibri" w:cs="Calibri"/>
                <w:b/>
                <w:bCs/>
                <w:sz w:val="20"/>
                <w:szCs w:val="20"/>
                <w:lang w:eastAsia="en-US"/>
              </w:rPr>
              <w:t>1 h</w:t>
            </w:r>
          </w:p>
        </w:tc>
        <w:tc>
          <w:tcPr>
            <w:tcW w:w="81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en-US"/>
              </w:rPr>
            </w:pPr>
            <w:r>
              <w:rPr>
                <w:rFonts w:eastAsia="Calibri" w:cs="Calibri"/>
                <w:b/>
                <w:bCs/>
                <w:sz w:val="20"/>
                <w:szCs w:val="20"/>
                <w:lang w:eastAsia="en-US"/>
              </w:rPr>
              <w:t>SLP, T, H, W, P, SD</w:t>
            </w:r>
          </w:p>
        </w:tc>
        <w:tc>
          <w:tcPr>
            <w:tcW w:w="1011"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ascii="微软雅黑" w:hAnsi="微软雅黑" w:eastAsia="微软雅黑" w:cs="微软雅黑"/>
                <w:b/>
                <w:bCs/>
                <w:sz w:val="20"/>
                <w:szCs w:val="20"/>
                <w:lang w:eastAsia="en-US"/>
              </w:rPr>
            </w:pPr>
            <w:r>
              <w:rPr>
                <w:rFonts w:hint="eastAsia" w:ascii="微软雅黑" w:hAnsi="微软雅黑" w:eastAsia="微软雅黑" w:cs="微软雅黑"/>
                <w:b/>
                <w:bCs/>
                <w:sz w:val="20"/>
                <w:szCs w:val="20"/>
                <w:lang w:eastAsia="en-US"/>
              </w:rPr>
              <w:t>通过</w:t>
            </w:r>
            <w:r>
              <w:rPr>
                <w:rFonts w:eastAsia="微软雅黑" w:cs="Verdana"/>
                <w:b/>
                <w:bCs/>
                <w:sz w:val="20"/>
                <w:szCs w:val="20"/>
                <w:lang w:eastAsia="en-US"/>
              </w:rPr>
              <w:t>WIS2</w:t>
            </w:r>
            <w:r>
              <w:rPr>
                <w:rFonts w:hint="eastAsia" w:ascii="微软雅黑" w:hAnsi="微软雅黑" w:eastAsia="微软雅黑" w:cs="微软雅黑"/>
                <w:b/>
                <w:bCs/>
                <w:sz w:val="20"/>
                <w:szCs w:val="20"/>
                <w:lang w:eastAsia="en-US"/>
              </w:rPr>
              <w:t>实时交换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997" w:type="pct"/>
            <w:tcBorders>
              <w:top w:val="single" w:color="auto" w:sz="6" w:space="0"/>
              <w:left w:val="single" w:color="auto" w:sz="6" w:space="0"/>
              <w:bottom w:val="single" w:color="auto" w:sz="6" w:space="0"/>
              <w:right w:val="single" w:color="auto" w:sz="6" w:space="0"/>
            </w:tcBorders>
            <w:shd w:val="clear" w:color="auto" w:fill="E5DFEC" w:themeFill="accent4" w:themeFillTint="33"/>
            <w:vAlign w:val="center"/>
          </w:tcPr>
          <w:p>
            <w:pPr>
              <w:spacing w:before="60" w:after="60"/>
              <w:rPr>
                <w:rFonts w:ascii="微软雅黑" w:hAnsi="微软雅黑" w:eastAsia="微软雅黑" w:cs="微软雅黑"/>
                <w:b/>
                <w:bCs/>
                <w:sz w:val="20"/>
                <w:szCs w:val="20"/>
                <w:lang w:eastAsia="en-US"/>
              </w:rPr>
            </w:pPr>
            <w:r>
              <w:rPr>
                <w:rFonts w:hint="eastAsia" w:ascii="微软雅黑" w:hAnsi="微软雅黑" w:eastAsia="微软雅黑" w:cs="微软雅黑"/>
                <w:b/>
                <w:bCs/>
                <w:sz w:val="20"/>
                <w:szCs w:val="20"/>
                <w:lang w:eastAsia="en-US"/>
              </w:rPr>
              <w:t>地面操作的高空站</w:t>
            </w:r>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b/>
                <w:bCs/>
                <w:sz w:val="20"/>
                <w:szCs w:val="20"/>
                <w:lang w:eastAsia="en-US"/>
              </w:rPr>
              <w:t>500 km</w:t>
            </w:r>
            <w:r>
              <w:rPr>
                <w:rFonts w:eastAsia="Calibri" w:cs="Calibri"/>
                <w:sz w:val="20"/>
                <w:szCs w:val="20"/>
                <w:lang w:eastAsia="en-US"/>
              </w:rPr>
              <w:t xml:space="preserve"> 200 km</w:t>
            </w:r>
            <w:r>
              <w:rPr>
                <w:rFonts w:eastAsia="Calibri" w:cs="Calibri"/>
                <w:sz w:val="24"/>
                <w:szCs w:val="24"/>
                <w:vertAlign w:val="superscript"/>
                <w:lang w:eastAsia="en-US"/>
              </w:rPr>
              <w:fldChar w:fldCharType="begin"/>
            </w:r>
            <w:r>
              <w:rPr>
                <w:rFonts w:eastAsia="Calibri" w:cs="Calibri"/>
                <w:sz w:val="20"/>
                <w:szCs w:val="20"/>
                <w:vertAlign w:val="superscript"/>
                <w:lang w:eastAsia="en-US"/>
              </w:rPr>
              <w:instrText xml:space="preserve"> NOTEREF _Ref116654333  \* MERGEFORMAT </w:instrText>
            </w:r>
            <w:r>
              <w:rPr>
                <w:rFonts w:eastAsia="Calibri" w:cs="Calibri"/>
                <w:sz w:val="24"/>
                <w:szCs w:val="24"/>
                <w:vertAlign w:val="superscript"/>
                <w:lang w:eastAsia="en-US"/>
              </w:rPr>
              <w:fldChar w:fldCharType="separate"/>
            </w:r>
            <w:r>
              <w:rPr>
                <w:rFonts w:eastAsia="Calibri" w:cs="Calibri"/>
                <w:sz w:val="20"/>
                <w:szCs w:val="20"/>
                <w:vertAlign w:val="superscript"/>
                <w:lang w:eastAsia="en-US"/>
              </w:rPr>
              <w:t>1</w:t>
            </w:r>
            <w:r>
              <w:rPr>
                <w:rFonts w:eastAsia="Calibri" w:cs="Calibri"/>
                <w:sz w:val="24"/>
                <w:szCs w:val="24"/>
                <w:vertAlign w:val="superscript"/>
                <w:lang w:eastAsia="en-US"/>
              </w:rPr>
              <w:fldChar w:fldCharType="end"/>
            </w:r>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en-US"/>
              </w:rPr>
            </w:pPr>
            <w:r>
              <w:rPr>
                <w:rFonts w:eastAsia="Calibri" w:cs="Calibri"/>
                <w:b/>
                <w:bCs/>
                <w:sz w:val="20"/>
                <w:szCs w:val="20"/>
                <w:lang w:eastAsia="en-US"/>
              </w:rPr>
              <w:t>100 m</w:t>
            </w:r>
          </w:p>
        </w:tc>
        <w:tc>
          <w:tcPr>
            <w:tcW w:w="70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en-US"/>
              </w:rPr>
            </w:pPr>
            <w:r>
              <w:rPr>
                <w:rFonts w:eastAsia="Calibri" w:cs="Calibri"/>
                <w:b/>
                <w:bCs/>
                <w:sz w:val="20"/>
                <w:szCs w:val="20"/>
                <w:lang w:eastAsia="en-US"/>
              </w:rPr>
              <w:t>2/24 h</w:t>
            </w:r>
          </w:p>
        </w:tc>
        <w:tc>
          <w:tcPr>
            <w:tcW w:w="81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en-US"/>
              </w:rPr>
            </w:pPr>
            <w:r>
              <w:rPr>
                <w:rFonts w:eastAsia="Calibri" w:cs="Calibri"/>
                <w:b/>
                <w:bCs/>
                <w:sz w:val="20"/>
                <w:szCs w:val="20"/>
                <w:lang w:eastAsia="en-US"/>
              </w:rPr>
              <w:t>T, H, W</w:t>
            </w:r>
          </w:p>
        </w:tc>
        <w:tc>
          <w:tcPr>
            <w:tcW w:w="1011"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zh-CN"/>
              </w:rPr>
            </w:pPr>
            <w:r>
              <w:rPr>
                <w:rFonts w:hint="eastAsia" w:ascii="微软雅黑" w:hAnsi="微软雅黑" w:eastAsia="微软雅黑" w:cs="微软雅黑"/>
                <w:b/>
                <w:bCs/>
                <w:sz w:val="20"/>
                <w:szCs w:val="20"/>
                <w:lang w:eastAsia="zh-CN"/>
              </w:rPr>
              <w:t>高达</w:t>
            </w:r>
            <w:r>
              <w:rPr>
                <w:rFonts w:eastAsia="微软雅黑" w:cs="Verdana"/>
                <w:b/>
                <w:bCs/>
                <w:sz w:val="20"/>
                <w:szCs w:val="20"/>
                <w:lang w:eastAsia="zh-CN"/>
              </w:rPr>
              <w:t>30 hPa</w:t>
            </w:r>
            <w:r>
              <w:rPr>
                <w:rFonts w:hint="eastAsia" w:ascii="微软雅黑" w:hAnsi="微软雅黑" w:eastAsia="微软雅黑" w:cs="微软雅黑"/>
                <w:b/>
                <w:bCs/>
                <w:sz w:val="20"/>
                <w:szCs w:val="20"/>
                <w:lang w:eastAsia="zh-CN"/>
              </w:rPr>
              <w:t>，通过</w:t>
            </w:r>
            <w:r>
              <w:rPr>
                <w:rFonts w:eastAsia="微软雅黑" w:cs="Verdana"/>
                <w:b/>
                <w:bCs/>
                <w:sz w:val="20"/>
                <w:szCs w:val="20"/>
                <w:lang w:eastAsia="zh-CN"/>
              </w:rPr>
              <w:t>WIS-2</w:t>
            </w:r>
            <w:r>
              <w:rPr>
                <w:rFonts w:hint="eastAsia" w:ascii="微软雅黑" w:hAnsi="微软雅黑" w:eastAsia="微软雅黑" w:cs="微软雅黑"/>
                <w:b/>
                <w:bCs/>
                <w:sz w:val="20"/>
                <w:szCs w:val="20"/>
                <w:lang w:eastAsia="zh-CN"/>
              </w:rPr>
              <w:t>实时交换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997" w:type="pct"/>
            <w:tcBorders>
              <w:top w:val="single" w:color="auto" w:sz="6" w:space="0"/>
              <w:left w:val="single" w:color="auto" w:sz="6" w:space="0"/>
              <w:bottom w:val="single" w:color="auto" w:sz="6" w:space="0"/>
              <w:right w:val="single" w:color="auto" w:sz="6" w:space="0"/>
            </w:tcBorders>
            <w:shd w:val="clear" w:color="auto" w:fill="E5DFEC" w:themeFill="accent4" w:themeFillTint="33"/>
            <w:vAlign w:val="center"/>
          </w:tcPr>
          <w:p>
            <w:pPr>
              <w:spacing w:before="60" w:after="60"/>
              <w:rPr>
                <w:rFonts w:ascii="微软雅黑" w:hAnsi="微软雅黑" w:eastAsia="微软雅黑" w:cs="微软雅黑"/>
                <w:b/>
                <w:bCs/>
                <w:sz w:val="20"/>
                <w:szCs w:val="20"/>
                <w:lang w:eastAsia="en-US"/>
              </w:rPr>
            </w:pPr>
            <w:r>
              <w:rPr>
                <w:rFonts w:hint="eastAsia" w:ascii="微软雅黑" w:hAnsi="微软雅黑" w:eastAsia="微软雅黑" w:cs="微软雅黑"/>
                <w:b/>
                <w:bCs/>
                <w:sz w:val="20"/>
                <w:szCs w:val="20"/>
                <w:lang w:eastAsia="en-US"/>
              </w:rPr>
              <w:t>高空站子集</w:t>
            </w:r>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sz w:val="20"/>
                <w:szCs w:val="20"/>
                <w:lang w:eastAsia="en-US"/>
              </w:rPr>
              <w:t>1000 km</w:t>
            </w:r>
            <w:r>
              <w:rPr>
                <w:rStyle w:val="45"/>
                <w:rFonts w:eastAsia="Calibri" w:cs="Calibri"/>
                <w:sz w:val="20"/>
                <w:szCs w:val="20"/>
                <w:lang w:eastAsia="en-US"/>
              </w:rPr>
              <w:footnoteReference w:id="1"/>
            </w:r>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sz w:val="20"/>
                <w:szCs w:val="20"/>
                <w:lang w:eastAsia="en-US"/>
              </w:rPr>
              <w:t>100 m</w:t>
            </w:r>
          </w:p>
        </w:tc>
        <w:tc>
          <w:tcPr>
            <w:tcW w:w="70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sz w:val="20"/>
                <w:szCs w:val="20"/>
                <w:lang w:eastAsia="en-US"/>
              </w:rPr>
              <w:t>24 h</w:t>
            </w:r>
          </w:p>
        </w:tc>
        <w:tc>
          <w:tcPr>
            <w:tcW w:w="81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sz w:val="20"/>
                <w:szCs w:val="20"/>
                <w:lang w:eastAsia="en-US"/>
              </w:rPr>
              <w:t>T, H, W</w:t>
            </w:r>
          </w:p>
        </w:tc>
        <w:tc>
          <w:tcPr>
            <w:tcW w:w="1011"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zh-CN"/>
              </w:rPr>
            </w:pPr>
            <w:r>
              <w:rPr>
                <w:rFonts w:hint="eastAsia" w:ascii="宋体" w:hAnsi="宋体" w:eastAsia="宋体" w:cs="宋体"/>
                <w:sz w:val="20"/>
                <w:szCs w:val="20"/>
                <w:lang w:eastAsia="zh-CN"/>
              </w:rPr>
              <w:t>高达</w:t>
            </w:r>
            <w:r>
              <w:rPr>
                <w:rFonts w:hint="eastAsia" w:eastAsia="Calibri" w:cs="Calibri"/>
                <w:sz w:val="20"/>
                <w:szCs w:val="20"/>
                <w:lang w:eastAsia="zh-CN"/>
              </w:rPr>
              <w:t>10hPa</w:t>
            </w:r>
            <w:r>
              <w:rPr>
                <w:rFonts w:hint="eastAsia" w:ascii="宋体" w:hAnsi="宋体" w:eastAsia="宋体" w:cs="宋体"/>
                <w:sz w:val="20"/>
                <w:szCs w:val="20"/>
                <w:lang w:eastAsia="zh-CN"/>
              </w:rPr>
              <w:t>，通过</w:t>
            </w:r>
            <w:r>
              <w:rPr>
                <w:rFonts w:hint="eastAsia" w:eastAsia="Calibri" w:cs="Calibri"/>
                <w:sz w:val="20"/>
                <w:szCs w:val="20"/>
                <w:lang w:eastAsia="zh-CN"/>
              </w:rPr>
              <w:t>WIS2</w:t>
            </w:r>
            <w:r>
              <w:rPr>
                <w:rFonts w:hint="eastAsia" w:ascii="宋体" w:hAnsi="宋体" w:eastAsia="宋体" w:cs="宋体"/>
                <w:sz w:val="20"/>
                <w:szCs w:val="20"/>
                <w:lang w:eastAsia="zh-CN"/>
              </w:rPr>
              <w:t>实时交换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tcBorders>
              <w:top w:val="single" w:color="auto" w:sz="6" w:space="0"/>
              <w:left w:val="single" w:color="auto" w:sz="6" w:space="0"/>
              <w:bottom w:val="single" w:color="auto" w:sz="6" w:space="0"/>
              <w:right w:val="single" w:color="auto" w:sz="6" w:space="0"/>
            </w:tcBorders>
            <w:shd w:val="clear" w:color="auto" w:fill="E5DFEC" w:themeFill="accent4" w:themeFillTint="33"/>
            <w:vAlign w:val="center"/>
          </w:tcPr>
          <w:p>
            <w:pPr>
              <w:spacing w:before="60" w:after="60"/>
              <w:rPr>
                <w:rFonts w:eastAsia="Calibri" w:cs="Calibri"/>
                <w:sz w:val="20"/>
                <w:szCs w:val="20"/>
                <w:lang w:eastAsia="zh-CN"/>
              </w:rPr>
            </w:pPr>
            <w:r>
              <w:rPr>
                <w:rFonts w:hint="eastAsia" w:ascii="微软雅黑" w:hAnsi="微软雅黑" w:eastAsia="微软雅黑" w:cs="微软雅黑"/>
                <w:b/>
                <w:bCs/>
                <w:sz w:val="20"/>
                <w:szCs w:val="20"/>
                <w:lang w:eastAsia="zh-CN"/>
              </w:rPr>
              <w:t>专属经济区内的海面站</w:t>
            </w:r>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en-US"/>
              </w:rPr>
            </w:pPr>
            <w:r>
              <w:rPr>
                <w:rFonts w:eastAsia="Calibri" w:cs="Calibri"/>
                <w:b/>
                <w:bCs/>
                <w:sz w:val="20"/>
                <w:szCs w:val="20"/>
                <w:lang w:eastAsia="en-US"/>
              </w:rPr>
              <w:t>500 km</w:t>
            </w:r>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sz w:val="20"/>
                <w:szCs w:val="20"/>
                <w:lang w:eastAsia="en-US"/>
              </w:rPr>
              <w:t>n/a</w:t>
            </w:r>
          </w:p>
        </w:tc>
        <w:tc>
          <w:tcPr>
            <w:tcW w:w="70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en-US"/>
              </w:rPr>
            </w:pPr>
            <w:r>
              <w:rPr>
                <w:rFonts w:eastAsia="Calibri" w:cs="Calibri"/>
                <w:b/>
                <w:bCs/>
                <w:sz w:val="20"/>
                <w:szCs w:val="20"/>
                <w:lang w:eastAsia="en-US"/>
              </w:rPr>
              <w:t>1 h</w:t>
            </w:r>
          </w:p>
        </w:tc>
        <w:tc>
          <w:tcPr>
            <w:tcW w:w="81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en-US"/>
              </w:rPr>
            </w:pPr>
            <w:r>
              <w:rPr>
                <w:rFonts w:eastAsia="Calibri" w:cs="Calibri"/>
                <w:b/>
                <w:bCs/>
                <w:sz w:val="20"/>
                <w:szCs w:val="20"/>
                <w:lang w:eastAsia="en-US"/>
              </w:rPr>
              <w:t>SLP, SST</w:t>
            </w:r>
          </w:p>
        </w:tc>
        <w:tc>
          <w:tcPr>
            <w:tcW w:w="1011"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en-US"/>
              </w:rPr>
            </w:pPr>
            <w:r>
              <w:rPr>
                <w:rFonts w:hint="eastAsia" w:ascii="微软雅黑" w:hAnsi="微软雅黑" w:eastAsia="微软雅黑" w:cs="微软雅黑"/>
                <w:b/>
                <w:bCs/>
                <w:sz w:val="20"/>
                <w:szCs w:val="20"/>
                <w:lang w:eastAsia="en-US"/>
              </w:rPr>
              <w:t>通过</w:t>
            </w:r>
            <w:r>
              <w:rPr>
                <w:rFonts w:eastAsia="微软雅黑" w:cs="Verdana"/>
                <w:b/>
                <w:bCs/>
                <w:sz w:val="20"/>
                <w:szCs w:val="20"/>
                <w:lang w:eastAsia="en-US"/>
              </w:rPr>
              <w:t>WIS2</w:t>
            </w:r>
            <w:r>
              <w:rPr>
                <w:rFonts w:hint="eastAsia" w:ascii="微软雅黑" w:hAnsi="微软雅黑" w:eastAsia="微软雅黑" w:cs="微软雅黑"/>
                <w:b/>
                <w:bCs/>
                <w:sz w:val="20"/>
                <w:szCs w:val="20"/>
                <w:lang w:eastAsia="en-US"/>
              </w:rPr>
              <w:t>实时交换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tcBorders>
              <w:top w:val="single" w:color="auto" w:sz="6" w:space="0"/>
              <w:left w:val="single" w:color="auto" w:sz="6" w:space="0"/>
              <w:bottom w:val="single" w:color="auto" w:sz="6" w:space="0"/>
              <w:right w:val="single" w:color="auto" w:sz="6" w:space="0"/>
            </w:tcBorders>
            <w:shd w:val="clear" w:color="auto" w:fill="E5DFEC" w:themeFill="accent4" w:themeFillTint="33"/>
            <w:vAlign w:val="center"/>
          </w:tcPr>
          <w:p>
            <w:pPr>
              <w:spacing w:before="60" w:after="60"/>
              <w:rPr>
                <w:rFonts w:eastAsia="Calibri" w:cs="Calibri"/>
                <w:sz w:val="20"/>
                <w:szCs w:val="20"/>
                <w:lang w:eastAsia="zh-CN"/>
              </w:rPr>
            </w:pPr>
            <w:r>
              <w:rPr>
                <w:rFonts w:hint="eastAsia" w:ascii="微软雅黑" w:hAnsi="微软雅黑" w:eastAsia="微软雅黑" w:cs="微软雅黑"/>
                <w:b/>
                <w:bCs/>
                <w:sz w:val="20"/>
                <w:szCs w:val="20"/>
                <w:lang w:eastAsia="zh-CN"/>
              </w:rPr>
              <w:t>专属经济区内</w:t>
            </w:r>
            <w:r>
              <w:rPr>
                <w:rFonts w:hint="eastAsia" w:ascii="微软雅黑" w:hAnsi="微软雅黑" w:eastAsia="微软雅黑" w:cs="微软雅黑"/>
                <w:b/>
                <w:bCs/>
                <w:sz w:val="20"/>
                <w:szCs w:val="20"/>
                <w:lang w:val="en-US" w:eastAsia="zh-CN"/>
              </w:rPr>
              <w:t>操作</w:t>
            </w:r>
            <w:r>
              <w:rPr>
                <w:rFonts w:hint="eastAsia" w:ascii="微软雅黑" w:hAnsi="微软雅黑" w:eastAsia="微软雅黑" w:cs="微软雅黑"/>
                <w:b/>
                <w:bCs/>
                <w:sz w:val="20"/>
                <w:szCs w:val="20"/>
                <w:lang w:eastAsia="zh-CN"/>
              </w:rPr>
              <w:t>的高空站</w:t>
            </w:r>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en-US"/>
              </w:rPr>
            </w:pPr>
            <w:r>
              <w:rPr>
                <w:rFonts w:eastAsia="Calibri" w:cs="Calibri"/>
                <w:b/>
                <w:bCs/>
                <w:sz w:val="20"/>
                <w:szCs w:val="20"/>
                <w:lang w:eastAsia="en-US"/>
              </w:rPr>
              <w:t>1000 km</w:t>
            </w:r>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en-US"/>
              </w:rPr>
            </w:pPr>
            <w:r>
              <w:rPr>
                <w:rFonts w:eastAsia="Calibri" w:cs="Calibri"/>
                <w:b/>
                <w:bCs/>
                <w:sz w:val="20"/>
                <w:szCs w:val="20"/>
                <w:lang w:eastAsia="en-US"/>
              </w:rPr>
              <w:t>100 m</w:t>
            </w:r>
          </w:p>
        </w:tc>
        <w:tc>
          <w:tcPr>
            <w:tcW w:w="70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en-US"/>
              </w:rPr>
            </w:pPr>
            <w:r>
              <w:rPr>
                <w:rFonts w:eastAsia="Calibri" w:cs="Calibri"/>
                <w:b/>
                <w:bCs/>
                <w:sz w:val="20"/>
                <w:szCs w:val="20"/>
                <w:lang w:eastAsia="en-US"/>
              </w:rPr>
              <w:t>2/24 h</w:t>
            </w:r>
          </w:p>
        </w:tc>
        <w:tc>
          <w:tcPr>
            <w:tcW w:w="81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en-US"/>
              </w:rPr>
            </w:pPr>
            <w:r>
              <w:rPr>
                <w:rFonts w:eastAsia="Calibri" w:cs="Calibri"/>
                <w:b/>
                <w:bCs/>
                <w:sz w:val="20"/>
                <w:szCs w:val="20"/>
                <w:lang w:eastAsia="en-US"/>
              </w:rPr>
              <w:t>T, H, W</w:t>
            </w:r>
          </w:p>
        </w:tc>
        <w:tc>
          <w:tcPr>
            <w:tcW w:w="1011"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b/>
                <w:bCs/>
                <w:sz w:val="20"/>
                <w:szCs w:val="20"/>
                <w:lang w:eastAsia="zh-CN"/>
              </w:rPr>
            </w:pPr>
            <w:r>
              <w:rPr>
                <w:rFonts w:hint="eastAsia" w:ascii="微软雅黑" w:hAnsi="微软雅黑" w:eastAsia="微软雅黑" w:cs="微软雅黑"/>
                <w:b/>
                <w:bCs/>
                <w:sz w:val="20"/>
                <w:szCs w:val="20"/>
                <w:lang w:eastAsia="zh-CN"/>
              </w:rPr>
              <w:t>高达</w:t>
            </w:r>
            <w:r>
              <w:rPr>
                <w:rFonts w:eastAsia="微软雅黑" w:cs="Verdana"/>
                <w:b/>
                <w:bCs/>
                <w:sz w:val="20"/>
                <w:szCs w:val="20"/>
                <w:lang w:eastAsia="zh-CN"/>
              </w:rPr>
              <w:t>30 hPa</w:t>
            </w:r>
            <w:r>
              <w:rPr>
                <w:rFonts w:hint="eastAsia" w:ascii="微软雅黑" w:hAnsi="微软雅黑" w:eastAsia="微软雅黑" w:cs="微软雅黑"/>
                <w:b/>
                <w:bCs/>
                <w:sz w:val="20"/>
                <w:szCs w:val="20"/>
                <w:lang w:eastAsia="zh-CN"/>
              </w:rPr>
              <w:t>，通过</w:t>
            </w:r>
            <w:r>
              <w:rPr>
                <w:rFonts w:eastAsia="微软雅黑" w:cs="Verdana"/>
                <w:b/>
                <w:bCs/>
                <w:sz w:val="20"/>
                <w:szCs w:val="20"/>
                <w:lang w:eastAsia="zh-CN"/>
              </w:rPr>
              <w:t>WIS</w:t>
            </w:r>
            <w:r>
              <w:rPr>
                <w:rFonts w:hint="eastAsia" w:eastAsia="微软雅黑" w:cs="Verdana"/>
                <w:b/>
                <w:bCs/>
                <w:sz w:val="20"/>
                <w:szCs w:val="20"/>
                <w:lang w:val="en-US" w:eastAsia="zh-CN"/>
              </w:rPr>
              <w:t xml:space="preserve"> </w:t>
            </w:r>
            <w:r>
              <w:rPr>
                <w:rFonts w:eastAsia="微软雅黑" w:cs="Verdana"/>
                <w:b/>
                <w:bCs/>
                <w:sz w:val="20"/>
                <w:szCs w:val="20"/>
                <w:lang w:eastAsia="zh-CN"/>
              </w:rPr>
              <w:t>2</w:t>
            </w:r>
            <w:r>
              <w:rPr>
                <w:rFonts w:hint="eastAsia" w:ascii="微软雅黑" w:hAnsi="微软雅黑" w:eastAsia="微软雅黑" w:cs="微软雅黑"/>
                <w:b/>
                <w:bCs/>
                <w:sz w:val="20"/>
                <w:szCs w:val="20"/>
                <w:lang w:eastAsia="zh-CN"/>
              </w:rPr>
              <w:t>实时交换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tcBorders>
              <w:top w:val="single" w:color="auto" w:sz="6" w:space="0"/>
              <w:left w:val="single" w:color="auto" w:sz="6" w:space="0"/>
              <w:bottom w:val="single" w:color="auto" w:sz="6" w:space="0"/>
              <w:right w:val="single" w:color="auto" w:sz="6" w:space="0"/>
            </w:tcBorders>
            <w:shd w:val="clear" w:color="auto" w:fill="E5DFEC" w:themeFill="accent4" w:themeFillTint="33"/>
            <w:vAlign w:val="center"/>
          </w:tcPr>
          <w:p>
            <w:pPr>
              <w:spacing w:before="60" w:after="60"/>
              <w:rPr>
                <w:rFonts w:eastAsia="Calibri" w:cs="Calibri"/>
                <w:sz w:val="20"/>
                <w:szCs w:val="20"/>
                <w:lang w:eastAsia="en-US"/>
              </w:rPr>
            </w:pPr>
            <w:r>
              <w:rPr>
                <w:rFonts w:hint="eastAsia" w:ascii="微软雅黑" w:hAnsi="微软雅黑" w:eastAsia="微软雅黑" w:cs="微软雅黑"/>
                <w:b/>
                <w:bCs/>
                <w:sz w:val="20"/>
                <w:szCs w:val="20"/>
                <w:lang w:eastAsia="en-US"/>
              </w:rPr>
              <w:t>飞机数据</w:t>
            </w:r>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hint="eastAsia" w:ascii="宋体" w:hAnsi="宋体" w:eastAsia="宋体" w:cs="宋体"/>
                <w:sz w:val="20"/>
                <w:szCs w:val="20"/>
                <w:lang w:eastAsia="en-US"/>
              </w:rPr>
              <w:t>飞行高度</w:t>
            </w:r>
            <w:r>
              <w:rPr>
                <w:rFonts w:eastAsia="Calibri" w:cs="Calibri"/>
                <w:sz w:val="20"/>
                <w:szCs w:val="20"/>
                <w:lang w:eastAsia="en-US"/>
              </w:rPr>
              <w:t>100 km</w:t>
            </w:r>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sz w:val="20"/>
                <w:szCs w:val="20"/>
                <w:lang w:eastAsia="en-US"/>
              </w:rPr>
              <w:t>300 m</w:t>
            </w:r>
            <w:r>
              <w:rPr>
                <w:rFonts w:hint="eastAsia" w:ascii="宋体" w:hAnsi="宋体" w:eastAsia="宋体" w:cs="宋体"/>
                <w:sz w:val="20"/>
                <w:szCs w:val="20"/>
                <w:lang w:eastAsia="en-US"/>
              </w:rPr>
              <w:t>廓线</w:t>
            </w:r>
          </w:p>
        </w:tc>
        <w:tc>
          <w:tcPr>
            <w:tcW w:w="70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sz w:val="20"/>
                <w:szCs w:val="20"/>
                <w:lang w:eastAsia="en-US"/>
              </w:rPr>
              <w:t>1 h</w:t>
            </w:r>
          </w:p>
        </w:tc>
        <w:tc>
          <w:tcPr>
            <w:tcW w:w="81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sz w:val="20"/>
                <w:szCs w:val="20"/>
                <w:lang w:eastAsia="en-US"/>
              </w:rPr>
              <w:t>T, H, W</w:t>
            </w:r>
          </w:p>
        </w:tc>
        <w:tc>
          <w:tcPr>
            <w:tcW w:w="1011"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zh-CN"/>
              </w:rPr>
            </w:pPr>
            <w:r>
              <w:rPr>
                <w:rFonts w:hint="eastAsia" w:ascii="宋体" w:hAnsi="宋体" w:eastAsia="宋体" w:cs="宋体"/>
                <w:sz w:val="20"/>
                <w:szCs w:val="20"/>
                <w:lang w:eastAsia="zh-CN"/>
              </w:rPr>
              <w:t>根据许可协议进行数据交换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tcBorders>
              <w:top w:val="single" w:color="auto" w:sz="6" w:space="0"/>
              <w:left w:val="single" w:color="auto" w:sz="6" w:space="0"/>
              <w:bottom w:val="single" w:color="auto" w:sz="6" w:space="0"/>
              <w:right w:val="single" w:color="auto" w:sz="6" w:space="0"/>
            </w:tcBorders>
            <w:shd w:val="clear" w:color="auto" w:fill="E5DFEC" w:themeFill="accent4" w:themeFillTint="33"/>
            <w:vAlign w:val="center"/>
          </w:tcPr>
          <w:p>
            <w:pPr>
              <w:spacing w:before="60" w:after="60"/>
              <w:rPr>
                <w:rFonts w:eastAsia="Calibri" w:cs="Calibri"/>
                <w:sz w:val="20"/>
                <w:szCs w:val="20"/>
                <w:lang w:eastAsia="en-US"/>
              </w:rPr>
            </w:pPr>
            <w:r>
              <w:rPr>
                <w:rFonts w:hint="eastAsia" w:ascii="微软雅黑" w:hAnsi="微软雅黑" w:eastAsia="微软雅黑" w:cs="微软雅黑"/>
                <w:b/>
                <w:bCs/>
                <w:sz w:val="20"/>
                <w:szCs w:val="20"/>
                <w:lang w:eastAsia="en-US"/>
              </w:rPr>
              <w:t>遥感廓线观测</w:t>
            </w:r>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hint="eastAsia" w:ascii="宋体" w:hAnsi="宋体" w:eastAsia="宋体" w:cs="宋体"/>
                <w:sz w:val="20"/>
                <w:szCs w:val="20"/>
                <w:lang w:eastAsia="en-US"/>
              </w:rPr>
              <w:t>如有</w:t>
            </w:r>
          </w:p>
        </w:tc>
        <w:tc>
          <w:tcPr>
            <w:tcW w:w="734"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sz w:val="20"/>
                <w:szCs w:val="20"/>
                <w:lang w:eastAsia="en-US"/>
              </w:rPr>
              <w:t>100 m</w:t>
            </w:r>
          </w:p>
        </w:tc>
        <w:tc>
          <w:tcPr>
            <w:tcW w:w="70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sz w:val="20"/>
                <w:szCs w:val="20"/>
                <w:lang w:eastAsia="en-US"/>
              </w:rPr>
              <w:t>1 h</w:t>
            </w:r>
          </w:p>
        </w:tc>
        <w:tc>
          <w:tcPr>
            <w:tcW w:w="816"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sz w:val="20"/>
                <w:szCs w:val="20"/>
                <w:lang w:eastAsia="en-US"/>
              </w:rPr>
              <w:t>T, H, W</w:t>
            </w:r>
          </w:p>
        </w:tc>
        <w:tc>
          <w:tcPr>
            <w:tcW w:w="1011" w:type="pct"/>
            <w:tcBorders>
              <w:top w:val="single" w:color="auto" w:sz="6" w:space="0"/>
              <w:left w:val="single" w:color="auto" w:sz="6" w:space="0"/>
              <w:bottom w:val="single" w:color="auto" w:sz="6" w:space="0"/>
              <w:right w:val="single" w:color="auto" w:sz="6" w:space="0"/>
            </w:tcBorders>
            <w:vAlign w:val="center"/>
          </w:tcPr>
          <w:p>
            <w:pPr>
              <w:spacing w:before="60" w:after="60"/>
              <w:jc w:val="center"/>
              <w:rPr>
                <w:rFonts w:eastAsia="Calibri" w:cs="Calibri"/>
                <w:sz w:val="20"/>
                <w:szCs w:val="20"/>
                <w:lang w:eastAsia="en-US"/>
              </w:rPr>
            </w:pPr>
            <w:r>
              <w:rPr>
                <w:rFonts w:eastAsia="Calibri" w:cs="Calibri"/>
                <w:sz w:val="20"/>
                <w:szCs w:val="20"/>
                <w:lang w:eastAsia="en-US"/>
              </w:rPr>
              <w:t>n/a</w:t>
            </w:r>
          </w:p>
        </w:tc>
      </w:tr>
    </w:tbl>
    <w:p>
      <w:pPr>
        <w:pStyle w:val="318"/>
        <w:keepNext/>
        <w:keepLines/>
        <w:spacing w:before="480" w:after="200" w:line="276" w:lineRule="auto"/>
        <w:ind w:left="357" w:hanging="357"/>
        <w:outlineLvl w:val="2"/>
        <w:rPr>
          <w:rFonts w:ascii="Verdana" w:hAnsi="Verdana"/>
          <w:sz w:val="20"/>
          <w:szCs w:val="20"/>
          <w:lang w:val="en-GB" w:eastAsia="zh-CN"/>
        </w:rPr>
      </w:pPr>
      <w:r>
        <w:rPr>
          <w:rFonts w:ascii="Verdana" w:hAnsi="Verdana"/>
          <w:b/>
          <w:bCs/>
          <w:sz w:val="20"/>
          <w:szCs w:val="20"/>
          <w:lang w:val="en-GB" w:eastAsia="zh-CN"/>
        </w:rPr>
        <w:t>2.2</w:t>
      </w:r>
      <w:r>
        <w:rPr>
          <w:rFonts w:ascii="Verdana" w:hAnsi="Verdana"/>
          <w:b/>
          <w:bCs/>
          <w:sz w:val="20"/>
          <w:szCs w:val="20"/>
          <w:lang w:val="en-GB" w:eastAsia="zh-CN"/>
        </w:rPr>
        <w:tab/>
      </w:r>
      <w:r>
        <w:rPr>
          <w:rFonts w:ascii="Verdana" w:hAnsi="Verdana"/>
          <w:b/>
          <w:bCs/>
          <w:sz w:val="20"/>
          <w:szCs w:val="20"/>
          <w:lang w:val="en-GB" w:eastAsia="zh-CN"/>
        </w:rPr>
        <w:tab/>
      </w:r>
      <w:r>
        <w:rPr>
          <w:rFonts w:ascii="Verdana" w:hAnsi="Verdana"/>
          <w:b/>
          <w:bCs/>
          <w:sz w:val="20"/>
          <w:szCs w:val="20"/>
          <w:lang w:val="en-GB" w:eastAsia="zh-CN"/>
        </w:rPr>
        <w:t>GBON</w:t>
      </w:r>
      <w:r>
        <w:rPr>
          <w:rFonts w:hint="eastAsia" w:ascii="微软雅黑" w:hAnsi="微软雅黑" w:eastAsia="微软雅黑" w:cs="微软雅黑"/>
          <w:b/>
          <w:bCs/>
          <w:sz w:val="20"/>
          <w:szCs w:val="20"/>
          <w:lang w:val="en-GB" w:eastAsia="zh-CN"/>
        </w:rPr>
        <w:t>高密网络要求</w:t>
      </w:r>
    </w:p>
    <w:p>
      <w:pPr>
        <w:pStyle w:val="2"/>
        <w:keepNext/>
        <w:keepLines/>
        <w:rPr>
          <w:rFonts w:ascii="宋体" w:hAnsi="宋体" w:eastAsia="宋体" w:cs="宋体"/>
          <w:szCs w:val="20"/>
          <w:lang w:eastAsia="zh-CN"/>
        </w:rPr>
      </w:pPr>
      <w:r>
        <w:rPr>
          <w:rFonts w:hint="eastAsia" w:ascii="宋体" w:hAnsi="宋体" w:eastAsia="宋体" w:cs="宋体"/>
          <w:szCs w:val="20"/>
          <w:lang w:eastAsia="zh-CN"/>
        </w:rPr>
        <w:t>当会员运营</w:t>
      </w:r>
      <w:r>
        <w:rPr>
          <w:rFonts w:eastAsia="宋体" w:cs="Verdana"/>
          <w:szCs w:val="20"/>
          <w:lang w:eastAsia="zh-CN"/>
        </w:rPr>
        <w:t>100</w:t>
      </w:r>
      <w:r>
        <w:rPr>
          <w:rFonts w:eastAsia="宋体" w:cs="Verdana"/>
          <w:szCs w:val="20"/>
          <w:lang w:val="en-US" w:eastAsia="zh-CN"/>
        </w:rPr>
        <w:t xml:space="preserve"> </w:t>
      </w:r>
      <w:r>
        <w:rPr>
          <w:rFonts w:eastAsia="宋体" w:cs="Verdana"/>
          <w:szCs w:val="20"/>
          <w:lang w:eastAsia="zh-CN"/>
        </w:rPr>
        <w:t>km</w:t>
      </w:r>
      <w:r>
        <w:rPr>
          <w:rFonts w:hint="eastAsia" w:ascii="宋体" w:hAnsi="宋体" w:eastAsia="宋体" w:cs="宋体"/>
          <w:szCs w:val="20"/>
          <w:lang w:eastAsia="zh-CN"/>
        </w:rPr>
        <w:t>或更高水平分辨率的地面观测站/平台网络，以及</w:t>
      </w:r>
      <w:r>
        <w:rPr>
          <w:rFonts w:eastAsia="宋体" w:cs="Verdana"/>
          <w:szCs w:val="20"/>
          <w:lang w:eastAsia="zh-CN"/>
        </w:rPr>
        <w:t>200</w:t>
      </w:r>
      <w:r>
        <w:rPr>
          <w:rFonts w:eastAsia="宋体" w:cs="Verdana"/>
          <w:szCs w:val="20"/>
          <w:lang w:val="en-US" w:eastAsia="zh-CN"/>
        </w:rPr>
        <w:t xml:space="preserve"> </w:t>
      </w:r>
      <w:r>
        <w:rPr>
          <w:rFonts w:eastAsia="宋体" w:cs="Verdana"/>
          <w:szCs w:val="20"/>
          <w:lang w:eastAsia="zh-CN"/>
        </w:rPr>
        <w:t>km</w:t>
      </w:r>
      <w:r>
        <w:rPr>
          <w:rFonts w:hint="eastAsia" w:ascii="宋体" w:hAnsi="宋体" w:eastAsia="宋体" w:cs="宋体"/>
          <w:szCs w:val="20"/>
          <w:lang w:eastAsia="zh-CN"/>
        </w:rPr>
        <w:t>或更高水平分辨率的高空站/平台网络时，适用</w:t>
      </w:r>
      <w:r>
        <w:rPr>
          <w:rFonts w:eastAsia="宋体" w:cs="Verdana"/>
          <w:szCs w:val="20"/>
          <w:lang w:eastAsia="zh-CN"/>
        </w:rPr>
        <w:t>GBON</w:t>
      </w:r>
      <w:r>
        <w:rPr>
          <w:rFonts w:hint="eastAsia" w:ascii="宋体" w:hAnsi="宋体" w:eastAsia="宋体" w:cs="宋体"/>
          <w:szCs w:val="20"/>
          <w:lang w:eastAsia="zh-CN"/>
        </w:rPr>
        <w:t>高密度要求。根据</w:t>
      </w:r>
      <w:r>
        <w:rPr>
          <w:rFonts w:eastAsia="宋体" w:cs="Verdana"/>
          <w:szCs w:val="20"/>
          <w:lang w:eastAsia="zh-CN"/>
        </w:rPr>
        <w:t>GBON 3.2.2.8</w:t>
      </w:r>
      <w:r>
        <w:rPr>
          <w:rFonts w:hint="eastAsia" w:ascii="宋体" w:hAnsi="宋体" w:eastAsia="宋体" w:cs="宋体"/>
          <w:szCs w:val="20"/>
          <w:lang w:eastAsia="zh-CN"/>
        </w:rPr>
        <w:t>和</w:t>
      </w:r>
      <w:r>
        <w:rPr>
          <w:rFonts w:eastAsia="宋体" w:cs="Verdana"/>
          <w:szCs w:val="20"/>
          <w:lang w:eastAsia="zh-CN"/>
        </w:rPr>
        <w:t>3.2.2.13</w:t>
      </w:r>
      <w:r>
        <w:rPr>
          <w:rFonts w:hint="eastAsia" w:ascii="宋体" w:hAnsi="宋体" w:eastAsia="宋体" w:cs="宋体"/>
          <w:szCs w:val="20"/>
          <w:lang w:eastAsia="zh-CN"/>
        </w:rPr>
        <w:t>的规定，会员应在这样的密度下运</w:t>
      </w:r>
      <w:r>
        <w:rPr>
          <w:rFonts w:hint="eastAsia" w:ascii="宋体" w:hAnsi="宋体" w:eastAsia="宋体" w:cs="宋体"/>
          <w:szCs w:val="20"/>
          <w:lang w:val="en-US" w:eastAsia="zh-CN"/>
        </w:rPr>
        <w:t>行</w:t>
      </w:r>
      <w:r>
        <w:rPr>
          <w:rFonts w:hint="eastAsia" w:ascii="宋体" w:hAnsi="宋体" w:eastAsia="宋体" w:cs="宋体"/>
          <w:szCs w:val="20"/>
          <w:lang w:eastAsia="zh-CN"/>
        </w:rPr>
        <w:t>其网络。同时，</w:t>
      </w:r>
      <w:r>
        <w:rPr>
          <w:rFonts w:eastAsia="宋体" w:cs="Verdana"/>
          <w:szCs w:val="20"/>
          <w:lang w:eastAsia="zh-CN"/>
        </w:rPr>
        <w:t>3.2.2.9</w:t>
      </w:r>
      <w:r>
        <w:rPr>
          <w:rFonts w:hint="eastAsia" w:ascii="宋体" w:hAnsi="宋体" w:eastAsia="宋体" w:cs="宋体"/>
          <w:szCs w:val="20"/>
          <w:lang w:eastAsia="zh-CN"/>
        </w:rPr>
        <w:t>和</w:t>
      </w:r>
      <w:r>
        <w:rPr>
          <w:rFonts w:eastAsia="宋体" w:cs="Verdana"/>
          <w:szCs w:val="20"/>
          <w:lang w:eastAsia="zh-CN"/>
        </w:rPr>
        <w:t>3.2.2.16</w:t>
      </w:r>
      <w:r>
        <w:rPr>
          <w:rFonts w:hint="eastAsia" w:ascii="宋体" w:hAnsi="宋体" w:eastAsia="宋体" w:cs="宋体"/>
          <w:szCs w:val="20"/>
          <w:lang w:eastAsia="zh-CN"/>
        </w:rPr>
        <w:t>分别规定，在这些较高密度下运营网络的会员，应通过</w:t>
      </w:r>
      <w:r>
        <w:rPr>
          <w:rFonts w:eastAsia="宋体" w:cs="Verdana"/>
          <w:szCs w:val="20"/>
          <w:lang w:eastAsia="zh-CN"/>
        </w:rPr>
        <w:t>WIS</w:t>
      </w:r>
      <w:r>
        <w:rPr>
          <w:rFonts w:hint="eastAsia" w:ascii="宋体" w:hAnsi="宋体" w:eastAsia="宋体" w:cs="宋体"/>
          <w:szCs w:val="20"/>
          <w:lang w:eastAsia="zh-CN"/>
        </w:rPr>
        <w:t>实时或接近实时在国际上提供所有</w:t>
      </w:r>
      <w:r>
        <w:rPr>
          <w:rFonts w:eastAsia="宋体" w:cs="Verdana"/>
          <w:szCs w:val="20"/>
          <w:lang w:eastAsia="zh-CN"/>
        </w:rPr>
        <w:t>GBON</w:t>
      </w:r>
      <w:r>
        <w:rPr>
          <w:rFonts w:hint="eastAsia" w:ascii="宋体" w:hAnsi="宋体" w:eastAsia="宋体" w:cs="宋体"/>
          <w:szCs w:val="20"/>
          <w:lang w:eastAsia="zh-CN"/>
        </w:rPr>
        <w:t>观测数据。</w:t>
      </w:r>
    </w:p>
    <w:p>
      <w:pPr>
        <w:pStyle w:val="2"/>
        <w:rPr>
          <w:rFonts w:ascii="宋体" w:hAnsi="宋体" w:eastAsia="宋体" w:cs="宋体"/>
          <w:szCs w:val="20"/>
          <w:lang w:eastAsia="zh-CN"/>
        </w:rPr>
      </w:pPr>
      <w:r>
        <w:rPr>
          <w:rFonts w:hint="eastAsia" w:ascii="宋体" w:hAnsi="宋体" w:eastAsia="宋体" w:cs="宋体"/>
          <w:szCs w:val="20"/>
          <w:lang w:eastAsia="zh-CN"/>
        </w:rPr>
        <w:t>因此，将根据</w:t>
      </w:r>
      <w:r>
        <w:rPr>
          <w:rFonts w:eastAsia="宋体" w:cs="Verdana"/>
          <w:szCs w:val="20"/>
          <w:lang w:eastAsia="zh-CN"/>
        </w:rPr>
        <w:t>200</w:t>
      </w:r>
      <w:r>
        <w:rPr>
          <w:rFonts w:eastAsia="宋体" w:cs="Verdana"/>
          <w:szCs w:val="20"/>
          <w:lang w:val="en-US" w:eastAsia="zh-CN"/>
        </w:rPr>
        <w:t xml:space="preserve"> </w:t>
      </w:r>
      <w:r>
        <w:rPr>
          <w:rFonts w:eastAsia="宋体" w:cs="Verdana"/>
          <w:szCs w:val="20"/>
          <w:lang w:eastAsia="zh-CN"/>
        </w:rPr>
        <w:t>km</w:t>
      </w:r>
      <w:r>
        <w:rPr>
          <w:rFonts w:hint="eastAsia" w:ascii="宋体" w:hAnsi="宋体" w:eastAsia="宋体" w:cs="宋体"/>
          <w:szCs w:val="20"/>
          <w:lang w:eastAsia="zh-CN"/>
        </w:rPr>
        <w:t>标准密度</w:t>
      </w:r>
      <w:r>
        <w:rPr>
          <w:rFonts w:hint="eastAsia" w:ascii="宋体" w:hAnsi="宋体" w:eastAsia="宋体" w:cs="宋体"/>
          <w:szCs w:val="20"/>
          <w:lang w:val="en-US" w:eastAsia="zh-CN"/>
        </w:rPr>
        <w:t>要求</w:t>
      </w:r>
      <w:r>
        <w:rPr>
          <w:rFonts w:hint="eastAsia" w:ascii="宋体" w:hAnsi="宋体" w:eastAsia="宋体" w:cs="宋体"/>
          <w:szCs w:val="20"/>
          <w:lang w:eastAsia="zh-CN"/>
        </w:rPr>
        <w:t>和</w:t>
      </w:r>
      <w:r>
        <w:rPr>
          <w:rFonts w:eastAsia="宋体" w:cs="Verdana"/>
          <w:szCs w:val="20"/>
          <w:lang w:eastAsia="zh-CN"/>
        </w:rPr>
        <w:t>100</w:t>
      </w:r>
      <w:r>
        <w:rPr>
          <w:rFonts w:eastAsia="宋体" w:cs="Verdana"/>
          <w:szCs w:val="20"/>
          <w:lang w:val="en-US" w:eastAsia="zh-CN"/>
        </w:rPr>
        <w:t xml:space="preserve"> </w:t>
      </w:r>
      <w:r>
        <w:rPr>
          <w:rFonts w:eastAsia="宋体" w:cs="Verdana"/>
          <w:szCs w:val="20"/>
          <w:lang w:eastAsia="zh-CN"/>
        </w:rPr>
        <w:t>km</w:t>
      </w:r>
      <w:r>
        <w:rPr>
          <w:rFonts w:hint="eastAsia" w:ascii="宋体" w:hAnsi="宋体" w:eastAsia="宋体" w:cs="宋体"/>
          <w:szCs w:val="20"/>
          <w:lang w:eastAsia="zh-CN"/>
        </w:rPr>
        <w:t>高密度要求，</w:t>
      </w:r>
      <w:r>
        <w:rPr>
          <w:rFonts w:hint="eastAsia" w:ascii="宋体" w:hAnsi="宋体" w:eastAsia="宋体" w:cs="宋体"/>
          <w:szCs w:val="20"/>
          <w:lang w:val="en-US" w:eastAsia="zh-CN"/>
        </w:rPr>
        <w:t>对</w:t>
      </w:r>
      <w:r>
        <w:rPr>
          <w:rFonts w:hint="eastAsia" w:ascii="宋体" w:hAnsi="宋体" w:eastAsia="宋体" w:cs="宋体"/>
          <w:szCs w:val="20"/>
          <w:lang w:eastAsia="zh-CN"/>
        </w:rPr>
        <w:t>地面观测网进行</w:t>
      </w:r>
      <w:r>
        <w:rPr>
          <w:rFonts w:eastAsia="宋体" w:cs="Verdana"/>
          <w:szCs w:val="20"/>
          <w:lang w:eastAsia="zh-CN"/>
        </w:rPr>
        <w:t>GBON</w:t>
      </w:r>
      <w:r>
        <w:rPr>
          <w:rFonts w:hint="eastAsia" w:ascii="宋体" w:hAnsi="宋体" w:eastAsia="宋体" w:cs="宋体"/>
          <w:szCs w:val="20"/>
          <w:lang w:eastAsia="zh-CN"/>
        </w:rPr>
        <w:t>合规监测。无论会员是在标准还是高密度配置下运营网络，都有</w:t>
      </w:r>
      <w:r>
        <w:rPr>
          <w:rFonts w:hint="eastAsia" w:ascii="宋体" w:hAnsi="宋体" w:eastAsia="宋体" w:cs="宋体"/>
          <w:szCs w:val="20"/>
          <w:lang w:val="en-US" w:eastAsia="zh-CN"/>
        </w:rPr>
        <w:t>清晰</w:t>
      </w:r>
      <w:r>
        <w:rPr>
          <w:rFonts w:hint="eastAsia" w:ascii="宋体" w:hAnsi="宋体" w:eastAsia="宋体" w:cs="宋体"/>
          <w:szCs w:val="20"/>
          <w:lang w:eastAsia="zh-CN"/>
        </w:rPr>
        <w:t>的目标</w:t>
      </w:r>
      <w:r>
        <w:rPr>
          <w:rFonts w:hint="eastAsia" w:ascii="宋体" w:hAnsi="宋体" w:eastAsia="宋体" w:cs="宋体"/>
          <w:szCs w:val="20"/>
          <w:lang w:val="en-US" w:eastAsia="zh-CN"/>
        </w:rPr>
        <w:t>要求</w:t>
      </w:r>
      <w:r>
        <w:rPr>
          <w:rFonts w:hint="eastAsia" w:ascii="宋体" w:hAnsi="宋体" w:eastAsia="宋体" w:cs="宋体"/>
          <w:szCs w:val="20"/>
          <w:lang w:eastAsia="zh-CN"/>
        </w:rPr>
        <w:t>。</w:t>
      </w:r>
    </w:p>
    <w:p>
      <w:pPr>
        <w:pStyle w:val="2"/>
        <w:rPr>
          <w:rFonts w:ascii="宋体" w:hAnsi="宋体" w:eastAsia="宋体" w:cs="宋体"/>
          <w:szCs w:val="20"/>
          <w:lang w:eastAsia="zh-CN"/>
        </w:rPr>
      </w:pPr>
      <w:r>
        <w:rPr>
          <w:rFonts w:hint="eastAsia" w:ascii="宋体" w:hAnsi="宋体" w:eastAsia="宋体" w:cs="宋体"/>
          <w:szCs w:val="20"/>
          <w:lang w:eastAsia="zh-CN"/>
        </w:rPr>
        <w:t>同样，将根据</w:t>
      </w:r>
      <w:r>
        <w:rPr>
          <w:rFonts w:eastAsia="宋体" w:cs="Verdana"/>
          <w:szCs w:val="20"/>
          <w:lang w:eastAsia="zh-CN"/>
        </w:rPr>
        <w:t>500 km</w:t>
      </w:r>
      <w:r>
        <w:rPr>
          <w:rFonts w:hint="eastAsia" w:ascii="宋体" w:hAnsi="宋体" w:eastAsia="宋体" w:cs="宋体"/>
          <w:szCs w:val="20"/>
          <w:lang w:eastAsia="zh-CN"/>
        </w:rPr>
        <w:t>标准密度</w:t>
      </w:r>
      <w:r>
        <w:rPr>
          <w:rFonts w:hint="eastAsia" w:ascii="宋体" w:hAnsi="宋体" w:eastAsia="宋体" w:cs="宋体"/>
          <w:szCs w:val="20"/>
          <w:lang w:val="en-US" w:eastAsia="zh-CN"/>
        </w:rPr>
        <w:t>要求</w:t>
      </w:r>
      <w:r>
        <w:rPr>
          <w:rFonts w:hint="eastAsia" w:ascii="宋体" w:hAnsi="宋体" w:eastAsia="宋体" w:cs="宋体"/>
          <w:szCs w:val="20"/>
          <w:lang w:eastAsia="zh-CN"/>
        </w:rPr>
        <w:t>和</w:t>
      </w:r>
      <w:r>
        <w:rPr>
          <w:rFonts w:eastAsia="宋体" w:cs="Verdana"/>
          <w:szCs w:val="20"/>
          <w:lang w:eastAsia="zh-CN"/>
        </w:rPr>
        <w:t>200 km</w:t>
      </w:r>
      <w:r>
        <w:rPr>
          <w:rFonts w:hint="eastAsia" w:ascii="宋体" w:hAnsi="宋体" w:eastAsia="宋体" w:cs="宋体"/>
          <w:szCs w:val="20"/>
          <w:lang w:eastAsia="zh-CN"/>
        </w:rPr>
        <w:t>高密度要求，对高空网络</w:t>
      </w:r>
      <w:r>
        <w:rPr>
          <w:rFonts w:hint="eastAsia" w:ascii="宋体" w:hAnsi="宋体" w:eastAsia="宋体" w:cs="宋体"/>
          <w:szCs w:val="20"/>
          <w:lang w:val="en-US" w:eastAsia="zh-CN"/>
        </w:rPr>
        <w:t>进行</w:t>
      </w:r>
      <w:r>
        <w:rPr>
          <w:rFonts w:eastAsia="宋体" w:cs="Verdana"/>
          <w:szCs w:val="20"/>
          <w:lang w:eastAsia="zh-CN"/>
        </w:rPr>
        <w:t>GBON</w:t>
      </w:r>
      <w:r>
        <w:rPr>
          <w:rFonts w:hint="eastAsia" w:ascii="宋体" w:hAnsi="宋体" w:eastAsia="宋体" w:cs="宋体"/>
          <w:szCs w:val="20"/>
          <w:lang w:eastAsia="zh-CN"/>
        </w:rPr>
        <w:t>合规监测。</w:t>
      </w:r>
    </w:p>
    <w:p>
      <w:pPr>
        <w:pStyle w:val="2"/>
        <w:rPr>
          <w:rFonts w:ascii="宋体" w:hAnsi="宋体" w:eastAsia="宋体" w:cs="宋体"/>
          <w:szCs w:val="20"/>
          <w:lang w:eastAsia="zh-CN"/>
        </w:rPr>
      </w:pPr>
      <w:r>
        <w:rPr>
          <w:rFonts w:eastAsia="宋体" w:cs="Verdana"/>
          <w:szCs w:val="20"/>
          <w:lang w:eastAsia="zh-CN"/>
        </w:rPr>
        <w:t>GBON</w:t>
      </w:r>
      <w:r>
        <w:rPr>
          <w:rFonts w:hint="eastAsia" w:ascii="宋体" w:hAnsi="宋体" w:eastAsia="宋体" w:cs="宋体"/>
          <w:szCs w:val="20"/>
          <w:lang w:eastAsia="zh-CN"/>
        </w:rPr>
        <w:t>合规报告将显示哪些国家正在以高密度运行其地面和高空网络，哪些国家正在以标准密度配置运行这些网络。</w:t>
      </w:r>
    </w:p>
    <w:p>
      <w:pPr>
        <w:pStyle w:val="4"/>
        <w:spacing w:after="240" w:line="280" w:lineRule="exact"/>
        <w:jc w:val="left"/>
        <w:rPr>
          <w:rFonts w:eastAsia="微软雅黑" w:cstheme="minorHAnsi"/>
          <w:sz w:val="24"/>
          <w:szCs w:val="24"/>
          <w:lang w:val="en-US" w:eastAsia="zh-CN"/>
        </w:rPr>
      </w:pPr>
      <w:r>
        <w:rPr>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ab/>
      </w:r>
      <w:r>
        <w:rPr>
          <w:rFonts w:cstheme="minorHAnsi"/>
          <w:sz w:val="24"/>
          <w:szCs w:val="24"/>
        </w:rPr>
        <w:t>GBON</w:t>
      </w:r>
      <w:r>
        <w:rPr>
          <w:rFonts w:hint="eastAsia" w:ascii="微软雅黑" w:hAnsi="微软雅黑" w:eastAsia="微软雅黑" w:cs="微软雅黑"/>
          <w:sz w:val="24"/>
          <w:szCs w:val="24"/>
        </w:rPr>
        <w:t>台站的</w:t>
      </w:r>
      <w:r>
        <w:rPr>
          <w:rFonts w:hint="eastAsia" w:ascii="微软雅黑" w:hAnsi="微软雅黑" w:eastAsia="微软雅黑" w:cs="微软雅黑"/>
          <w:sz w:val="24"/>
          <w:szCs w:val="24"/>
          <w:lang w:val="en-US" w:eastAsia="zh-CN"/>
        </w:rPr>
        <w:t>指定</w:t>
      </w:r>
    </w:p>
    <w:p>
      <w:pPr>
        <w:pStyle w:val="318"/>
        <w:spacing w:before="240" w:after="200" w:line="240" w:lineRule="auto"/>
        <w:ind w:left="357" w:hanging="357"/>
        <w:outlineLvl w:val="2"/>
        <w:rPr>
          <w:rFonts w:ascii="Verdana" w:hAnsi="Verdana"/>
          <w:b/>
          <w:bCs/>
          <w:sz w:val="20"/>
          <w:szCs w:val="20"/>
          <w:lang w:val="en-GB"/>
        </w:rPr>
      </w:pPr>
      <w:r>
        <w:rPr>
          <w:rFonts w:ascii="Verdana" w:hAnsi="Verdana"/>
          <w:b/>
          <w:bCs/>
          <w:sz w:val="20"/>
          <w:szCs w:val="20"/>
          <w:lang w:val="en-GB"/>
        </w:rPr>
        <w:t xml:space="preserve">3.1 </w:t>
      </w:r>
      <w:r>
        <w:rPr>
          <w:rFonts w:ascii="Verdana" w:hAnsi="Verdana"/>
          <w:b/>
          <w:bCs/>
          <w:sz w:val="20"/>
          <w:szCs w:val="20"/>
          <w:lang w:val="en-GB"/>
        </w:rPr>
        <w:tab/>
      </w:r>
      <w:r>
        <w:rPr>
          <w:rFonts w:ascii="Verdana" w:hAnsi="Verdana"/>
          <w:b/>
          <w:bCs/>
          <w:sz w:val="20"/>
          <w:szCs w:val="20"/>
          <w:lang w:val="en-GB"/>
        </w:rPr>
        <w:t>GBON</w:t>
      </w:r>
      <w:r>
        <w:rPr>
          <w:rFonts w:hint="eastAsia" w:ascii="微软雅黑" w:hAnsi="微软雅黑" w:eastAsia="微软雅黑" w:cs="微软雅黑"/>
          <w:b/>
          <w:bCs/>
          <w:sz w:val="20"/>
          <w:szCs w:val="20"/>
          <w:lang w:val="en-GB"/>
        </w:rPr>
        <w:t>台站的指定程序</w:t>
      </w:r>
    </w:p>
    <w:p>
      <w:pPr>
        <w:spacing w:after="240" w:line="240" w:lineRule="exact"/>
        <w:rPr>
          <w:rFonts w:ascii="宋体" w:hAnsi="宋体" w:eastAsia="宋体" w:cs="宋体"/>
          <w:shd w:val="clear" w:color="auto" w:fill="FFFFFF"/>
          <w:lang w:eastAsia="zh-CN"/>
        </w:rPr>
      </w:pPr>
      <w:r>
        <w:rPr>
          <w:rFonts w:hint="eastAsia"/>
          <w:shd w:val="clear" w:color="auto" w:fill="FFFFFF"/>
          <w:lang w:eastAsia="zh-CN"/>
        </w:rPr>
        <w:t>根据</w:t>
      </w:r>
      <w:r>
        <w:rPr>
          <w:rFonts w:hint="eastAsia" w:ascii="宋体" w:hAnsi="宋体" w:eastAsia="宋体" w:cs="宋体"/>
          <w:shd w:val="clear" w:color="auto" w:fill="FFFFFF"/>
          <w:lang w:eastAsia="zh-CN"/>
        </w:rPr>
        <w:t>会员指定</w:t>
      </w:r>
      <w:r>
        <w:rPr>
          <w:rFonts w:hint="eastAsia" w:ascii="宋体" w:hAnsi="宋体" w:eastAsia="宋体" w:cs="宋体"/>
          <w:shd w:val="clear" w:color="auto" w:fill="FFFFFF"/>
          <w:lang w:val="en-US" w:eastAsia="zh-CN"/>
        </w:rPr>
        <w:t>新的</w:t>
      </w:r>
      <w:r>
        <w:rPr>
          <w:rFonts w:eastAsia="宋体" w:cs="Verdana"/>
          <w:shd w:val="clear" w:color="auto" w:fill="FFFFFF"/>
          <w:lang w:eastAsia="zh-CN"/>
        </w:rPr>
        <w:t>GBON</w:t>
      </w:r>
      <w:r>
        <w:rPr>
          <w:rFonts w:hint="eastAsia" w:ascii="宋体" w:hAnsi="宋体" w:eastAsia="宋体" w:cs="宋体"/>
          <w:shd w:val="clear" w:color="auto" w:fill="FFFFFF"/>
          <w:lang w:eastAsia="zh-CN"/>
        </w:rPr>
        <w:t>台站的建议，更新</w:t>
      </w:r>
      <w:r>
        <w:rPr>
          <w:rFonts w:eastAsia="宋体" w:cs="Verdana"/>
          <w:shd w:val="clear" w:color="auto" w:fill="FFFFFF"/>
          <w:lang w:eastAsia="zh-CN"/>
        </w:rPr>
        <w:t>GBON</w:t>
      </w:r>
      <w:r>
        <w:rPr>
          <w:rFonts w:hint="eastAsia" w:ascii="宋体" w:hAnsi="宋体" w:eastAsia="宋体" w:cs="宋体"/>
          <w:shd w:val="clear" w:color="auto" w:fill="FFFFFF"/>
          <w:lang w:val="en-US" w:eastAsia="zh-CN"/>
        </w:rPr>
        <w:t>台站列表</w:t>
      </w:r>
      <w:r>
        <w:rPr>
          <w:rFonts w:hint="eastAsia" w:ascii="宋体" w:hAnsi="宋体" w:eastAsia="宋体" w:cs="宋体"/>
          <w:shd w:val="clear" w:color="auto" w:fill="FFFFFF"/>
          <w:lang w:eastAsia="zh-CN"/>
        </w:rPr>
        <w:t>并定期由</w:t>
      </w:r>
      <w:r>
        <w:rPr>
          <w:rFonts w:eastAsia="宋体" w:cs="Verdana"/>
          <w:shd w:val="clear" w:color="auto" w:fill="FFFFFF"/>
          <w:lang w:eastAsia="zh-CN"/>
        </w:rPr>
        <w:t>INFCOM</w:t>
      </w:r>
      <w:r>
        <w:rPr>
          <w:rFonts w:hint="eastAsia" w:ascii="宋体" w:hAnsi="宋体" w:eastAsia="宋体" w:cs="宋体"/>
          <w:shd w:val="clear" w:color="auto" w:fill="FFFFFF"/>
          <w:lang w:val="en-US" w:eastAsia="zh-CN"/>
        </w:rPr>
        <w:t>审批</w:t>
      </w:r>
      <w:r>
        <w:rPr>
          <w:rFonts w:hint="eastAsia" w:ascii="宋体" w:hAnsi="宋体" w:eastAsia="宋体" w:cs="宋体"/>
          <w:shd w:val="clear" w:color="auto" w:fill="FFFFFF"/>
          <w:lang w:eastAsia="zh-CN"/>
        </w:rPr>
        <w:t>。</w:t>
      </w:r>
    </w:p>
    <w:p>
      <w:pPr>
        <w:spacing w:after="240" w:line="240" w:lineRule="exact"/>
        <w:jc w:val="both"/>
        <w:rPr>
          <w:rFonts w:eastAsiaTheme="minorEastAsia" w:cstheme="minorHAnsi"/>
          <w:lang w:eastAsia="zh-CN"/>
        </w:rPr>
      </w:pPr>
      <w:r>
        <w:rPr>
          <w:rFonts w:hint="eastAsia" w:ascii="宋体" w:hAnsi="宋体" w:eastAsia="宋体" w:cs="宋体"/>
          <w:lang w:eastAsia="zh-CN"/>
        </w:rPr>
        <w:t>会员有权根据全球差距分析或自己的分析，决定</w:t>
      </w:r>
      <w:r>
        <w:rPr>
          <w:rFonts w:hint="eastAsia" w:ascii="宋体" w:hAnsi="宋体" w:eastAsia="宋体" w:cs="宋体"/>
          <w:lang w:val="en-US" w:eastAsia="zh-CN"/>
        </w:rPr>
        <w:t>提名</w:t>
      </w:r>
      <w:r>
        <w:rPr>
          <w:rFonts w:hint="eastAsia" w:ascii="宋体" w:hAnsi="宋体" w:eastAsia="宋体" w:cs="宋体"/>
          <w:lang w:eastAsia="zh-CN"/>
        </w:rPr>
        <w:t>哪些台站</w:t>
      </w:r>
      <w:r>
        <w:rPr>
          <w:rFonts w:hint="eastAsia" w:ascii="宋体" w:hAnsi="宋体" w:eastAsia="宋体" w:cs="宋体"/>
          <w:lang w:val="en-US" w:eastAsia="zh-CN"/>
        </w:rPr>
        <w:t>加</w:t>
      </w:r>
      <w:r>
        <w:rPr>
          <w:rFonts w:hint="eastAsia" w:ascii="宋体" w:hAnsi="宋体" w:eastAsia="宋体" w:cs="宋体"/>
          <w:lang w:eastAsia="zh-CN"/>
        </w:rPr>
        <w:t>入</w:t>
      </w:r>
      <w:r>
        <w:rPr>
          <w:rFonts w:eastAsia="宋体" w:cs="Verdana"/>
          <w:lang w:eastAsia="zh-CN"/>
        </w:rPr>
        <w:t>GBON</w:t>
      </w:r>
      <w:r>
        <w:rPr>
          <w:rFonts w:hint="eastAsia" w:ascii="宋体" w:hAnsi="宋体" w:eastAsia="宋体" w:cs="宋体"/>
          <w:lang w:eastAsia="zh-CN"/>
        </w:rPr>
        <w:t>。</w:t>
      </w:r>
    </w:p>
    <w:p>
      <w:pPr>
        <w:spacing w:after="240" w:line="240" w:lineRule="exact"/>
        <w:rPr>
          <w:rFonts w:ascii="宋体" w:hAnsi="宋体" w:eastAsia="宋体" w:cs="宋体"/>
          <w:lang w:eastAsia="zh-CN"/>
        </w:rPr>
      </w:pPr>
      <w:r>
        <w:fldChar w:fldCharType="begin"/>
      </w:r>
      <w:r>
        <w:instrText xml:space="preserve"> HYPERLINK "https://library.wmo.int/doc_num.php?explnum_id=11151" </w:instrText>
      </w:r>
      <w:r>
        <w:fldChar w:fldCharType="separate"/>
      </w:r>
      <w:r>
        <w:rPr>
          <w:rStyle w:val="43"/>
          <w:rFonts w:hint="eastAsia" w:ascii="宋体" w:hAnsi="宋体" w:eastAsia="宋体" w:cs="宋体"/>
          <w:lang w:eastAsia="zh-CN"/>
        </w:rPr>
        <w:t>《</w:t>
      </w:r>
      <w:r>
        <w:rPr>
          <w:rStyle w:val="43"/>
          <w:rFonts w:eastAsia="宋体" w:cs="Verdana"/>
          <w:lang w:eastAsia="zh-CN"/>
        </w:rPr>
        <w:t>WMO</w:t>
      </w:r>
      <w:r>
        <w:rPr>
          <w:rStyle w:val="43"/>
          <w:rFonts w:hint="eastAsia" w:ascii="宋体" w:hAnsi="宋体" w:eastAsia="宋体" w:cs="宋体"/>
          <w:lang w:eastAsia="zh-CN"/>
        </w:rPr>
        <w:t>全球综合观测系统手册》</w:t>
      </w:r>
      <w:r>
        <w:rPr>
          <w:rStyle w:val="43"/>
          <w:rFonts w:hint="eastAsia" w:ascii="宋体" w:hAnsi="宋体" w:eastAsia="宋体" w:cs="宋体"/>
          <w:lang w:eastAsia="zh-CN"/>
        </w:rPr>
        <w:fldChar w:fldCharType="end"/>
      </w:r>
      <w:r>
        <w:rPr>
          <w:rFonts w:hint="eastAsia" w:ascii="宋体" w:hAnsi="宋体" w:eastAsia="宋体" w:cs="宋体"/>
          <w:lang w:eastAsia="zh-CN"/>
        </w:rPr>
        <w:t>（</w:t>
      </w:r>
      <w:r>
        <w:rPr>
          <w:rFonts w:hint="eastAsia"/>
          <w:lang w:eastAsia="zh-CN"/>
        </w:rPr>
        <w:t>WMO</w:t>
      </w:r>
      <w:r>
        <w:rPr>
          <w:rFonts w:hint="eastAsia" w:eastAsia="宋体"/>
          <w:lang w:val="en-US" w:eastAsia="zh-CN"/>
        </w:rPr>
        <w:t>-</w:t>
      </w:r>
      <w:r>
        <w:rPr>
          <w:rFonts w:hint="eastAsia"/>
          <w:lang w:eastAsia="zh-CN"/>
        </w:rPr>
        <w:t>No. 1160</w:t>
      </w:r>
      <w:r>
        <w:rPr>
          <w:rFonts w:hint="eastAsia" w:ascii="宋体" w:hAnsi="宋体" w:eastAsia="宋体" w:cs="宋体"/>
          <w:lang w:eastAsia="zh-CN"/>
        </w:rPr>
        <w:t>）附录</w:t>
      </w:r>
      <w:r>
        <w:rPr>
          <w:rFonts w:eastAsia="宋体" w:cs="Verdana"/>
          <w:lang w:eastAsia="zh-CN"/>
        </w:rPr>
        <w:t>3.1</w:t>
      </w:r>
      <w:r>
        <w:rPr>
          <w:rFonts w:hint="eastAsia" w:ascii="宋体" w:hAnsi="宋体" w:eastAsia="宋体" w:cs="宋体"/>
          <w:lang w:eastAsia="zh-CN"/>
        </w:rPr>
        <w:t>规定了指定</w:t>
      </w:r>
      <w:r>
        <w:rPr>
          <w:rFonts w:eastAsia="宋体" w:cs="Verdana"/>
          <w:lang w:eastAsia="zh-CN"/>
        </w:rPr>
        <w:t>GBON</w:t>
      </w:r>
      <w:r>
        <w:rPr>
          <w:rFonts w:hint="eastAsia" w:ascii="宋体" w:hAnsi="宋体" w:eastAsia="宋体" w:cs="宋体"/>
          <w:lang w:eastAsia="zh-CN"/>
        </w:rPr>
        <w:t>台站时所有利益相关方所需遵循的程序，为了方便在此转载其中的规定。</w:t>
      </w:r>
    </w:p>
    <w:p>
      <w:pPr>
        <w:spacing w:after="240" w:line="240" w:lineRule="exact"/>
        <w:rPr>
          <w:rFonts w:ascii="宋体" w:hAnsi="宋体" w:eastAsia="宋体" w:cs="宋体"/>
          <w:i/>
          <w:iCs/>
          <w:lang w:eastAsia="zh-CN"/>
        </w:rPr>
      </w:pPr>
      <w:r>
        <w:rPr>
          <w:rFonts w:hint="eastAsia" w:ascii="宋体" w:hAnsi="宋体" w:eastAsia="宋体" w:cs="宋体"/>
          <w:i/>
          <w:iCs/>
          <w:lang w:eastAsia="zh-CN"/>
        </w:rPr>
        <w:t>(编者注：将通过决议</w:t>
      </w:r>
      <w:r>
        <w:rPr>
          <w:rFonts w:hint="eastAsia"/>
          <w:i/>
          <w:iCs/>
          <w:lang w:eastAsia="zh-CN"/>
        </w:rPr>
        <w:t>3.2(1)/1 (EC-76)</w:t>
      </w:r>
      <w:r>
        <w:rPr>
          <w:rFonts w:hint="eastAsia" w:ascii="宋体" w:hAnsi="宋体" w:eastAsia="宋体" w:cs="宋体"/>
          <w:i/>
          <w:iCs/>
          <w:lang w:eastAsia="zh-CN"/>
        </w:rPr>
        <w:t>对下文进行相应更新，以与《手册》保持一致。)</w:t>
      </w:r>
    </w:p>
    <w:p>
      <w:pPr>
        <w:spacing w:after="240" w:line="240" w:lineRule="exact"/>
        <w:ind w:left="567" w:hanging="567"/>
        <w:rPr>
          <w:rFonts w:ascii="宋体" w:hAnsi="宋体" w:eastAsia="宋体" w:cs="宋体"/>
          <w:color w:val="auto"/>
          <w:lang w:eastAsia="zh-CN"/>
        </w:rPr>
      </w:pPr>
      <w:r>
        <w:rPr>
          <w:color w:val="000000"/>
          <w:lang w:eastAsia="zh-CN"/>
        </w:rPr>
        <w:t xml:space="preserve">1. </w:t>
      </w:r>
      <w:r>
        <w:rPr>
          <w:color w:val="000000"/>
          <w:lang w:eastAsia="zh-CN"/>
        </w:rPr>
        <w:tab/>
      </w:r>
      <w:r>
        <w:rPr>
          <w:rFonts w:hint="eastAsia"/>
          <w:color w:val="000000"/>
          <w:lang w:eastAsia="zh-CN"/>
        </w:rPr>
        <w:t>GBON</w:t>
      </w:r>
      <w:r>
        <w:rPr>
          <w:rFonts w:hint="eastAsia" w:ascii="宋体" w:hAnsi="宋体" w:eastAsia="宋体" w:cs="宋体"/>
          <w:color w:val="000000"/>
          <w:lang w:eastAsia="zh-CN"/>
        </w:rPr>
        <w:t>台站/平台列表摘自</w:t>
      </w:r>
      <w:r>
        <w:rPr>
          <w:rFonts w:eastAsia="宋体" w:cs="Verdana"/>
          <w:color w:val="000000"/>
          <w:lang w:eastAsia="zh-CN"/>
        </w:rPr>
        <w:t>WIGOS</w:t>
      </w:r>
      <w:r>
        <w:rPr>
          <w:rFonts w:hint="eastAsia" w:ascii="宋体" w:hAnsi="宋体" w:eastAsia="宋体" w:cs="宋体"/>
          <w:color w:val="000000"/>
          <w:lang w:eastAsia="zh-CN"/>
        </w:rPr>
        <w:t>现有台站/平台列表，由会员在用于地基观测的观测系统能力分析和审查工具（</w:t>
      </w:r>
      <w:r>
        <w:fldChar w:fldCharType="begin"/>
      </w:r>
      <w:r>
        <w:instrText xml:space="preserve"> HYPERLINK "https://oscar.wmo.int/surface/" \l "/" </w:instrText>
      </w:r>
      <w:r>
        <w:fldChar w:fldCharType="separate"/>
      </w:r>
      <w:r>
        <w:rPr>
          <w:rStyle w:val="43"/>
          <w:rFonts w:hint="eastAsia" w:eastAsia="宋体"/>
          <w:lang w:val="en-US" w:eastAsia="zh-CN"/>
        </w:rPr>
        <w:t>OSCAR/地表</w:t>
      </w:r>
      <w:r>
        <w:rPr>
          <w:rStyle w:val="43"/>
          <w:rFonts w:hint="eastAsia" w:eastAsia="宋体"/>
          <w:lang w:val="en-US" w:eastAsia="zh-CN"/>
        </w:rPr>
        <w:fldChar w:fldCharType="end"/>
      </w:r>
      <w:r>
        <w:rPr>
          <w:rFonts w:hint="eastAsia" w:ascii="宋体" w:hAnsi="宋体" w:eastAsia="宋体" w:cs="宋体"/>
          <w:color w:val="000000"/>
          <w:lang w:eastAsia="zh-CN"/>
        </w:rPr>
        <w:t>）中登记，并由</w:t>
      </w:r>
      <w:r>
        <w:rPr>
          <w:rFonts w:eastAsia="宋体" w:cs="Verdana"/>
          <w:color w:val="000000"/>
          <w:lang w:eastAsia="zh-CN"/>
        </w:rPr>
        <w:t>WIGOS</w:t>
      </w:r>
      <w:r>
        <w:rPr>
          <w:rFonts w:hint="eastAsia" w:ascii="宋体" w:hAnsi="宋体" w:eastAsia="宋体" w:cs="宋体"/>
          <w:color w:val="000000"/>
          <w:lang w:eastAsia="zh-CN"/>
        </w:rPr>
        <w:t>数据质量监测系统（</w:t>
      </w:r>
      <w:r>
        <w:rPr>
          <w:rFonts w:eastAsia="宋体" w:cs="Verdana"/>
          <w:color w:val="000000"/>
          <w:lang w:eastAsia="zh-CN"/>
        </w:rPr>
        <w:t>WDQMS</w:t>
      </w:r>
      <w:r>
        <w:rPr>
          <w:rFonts w:hint="eastAsia" w:ascii="宋体" w:hAnsi="宋体" w:eastAsia="宋体" w:cs="宋体"/>
          <w:color w:val="000000"/>
          <w:lang w:eastAsia="zh-CN"/>
        </w:rPr>
        <w:t>）网络工具监测数据质量。</w:t>
      </w:r>
    </w:p>
    <w:p>
      <w:pPr>
        <w:spacing w:after="240" w:line="240" w:lineRule="exact"/>
        <w:ind w:left="567" w:hanging="567"/>
        <w:rPr>
          <w:rFonts w:ascii="宋体" w:hAnsi="宋体" w:eastAsia="宋体" w:cs="宋体"/>
          <w:color w:val="auto"/>
          <w:lang w:eastAsia="zh-CN"/>
        </w:rPr>
      </w:pPr>
      <w:r>
        <w:rPr>
          <w:color w:val="000000"/>
          <w:lang w:eastAsia="zh-CN"/>
        </w:rPr>
        <w:t xml:space="preserve">2. </w:t>
      </w:r>
      <w:r>
        <w:rPr>
          <w:color w:val="000000"/>
          <w:lang w:eastAsia="zh-CN"/>
        </w:rPr>
        <w:tab/>
      </w:r>
      <w:r>
        <w:rPr>
          <w:rFonts w:hint="eastAsia" w:ascii="宋体" w:hAnsi="宋体" w:eastAsia="宋体" w:cs="宋体"/>
          <w:color w:val="000000"/>
          <w:lang w:eastAsia="zh-CN"/>
        </w:rPr>
        <w:t>各会员根据</w:t>
      </w:r>
      <w:r>
        <w:rPr>
          <w:rFonts w:hint="eastAsia"/>
          <w:color w:val="000000"/>
          <w:lang w:eastAsia="zh-CN"/>
        </w:rPr>
        <w:t>3.2.2.7-3.2.2.10</w:t>
      </w:r>
      <w:r>
        <w:rPr>
          <w:rFonts w:hint="eastAsia" w:ascii="宋体" w:hAnsi="宋体" w:eastAsia="宋体" w:cs="宋体"/>
          <w:color w:val="000000"/>
          <w:lang w:eastAsia="zh-CN"/>
        </w:rPr>
        <w:t>和</w:t>
      </w:r>
      <w:r>
        <w:rPr>
          <w:rFonts w:hint="eastAsia"/>
          <w:color w:val="000000"/>
          <w:lang w:eastAsia="zh-CN"/>
        </w:rPr>
        <w:t>3.2.2.12-3.2.2.15</w:t>
      </w:r>
      <w:r>
        <w:rPr>
          <w:rFonts w:hint="eastAsia" w:ascii="宋体" w:hAnsi="宋体" w:eastAsia="宋体" w:cs="宋体"/>
          <w:color w:val="000000"/>
          <w:lang w:eastAsia="zh-CN"/>
        </w:rPr>
        <w:t>的规定，提议指定为</w:t>
      </w:r>
      <w:r>
        <w:rPr>
          <w:rFonts w:hint="eastAsia"/>
          <w:color w:val="000000"/>
          <w:lang w:eastAsia="zh-CN"/>
        </w:rPr>
        <w:t>GBON</w:t>
      </w:r>
      <w:r>
        <w:rPr>
          <w:rFonts w:hint="eastAsia" w:ascii="宋体" w:hAnsi="宋体" w:eastAsia="宋体" w:cs="宋体"/>
          <w:color w:val="000000"/>
          <w:lang w:eastAsia="zh-CN"/>
        </w:rPr>
        <w:t>台站的子集。</w:t>
      </w:r>
    </w:p>
    <w:p>
      <w:pPr>
        <w:spacing w:after="240" w:line="240" w:lineRule="exact"/>
        <w:ind w:left="567" w:hanging="567"/>
        <w:rPr>
          <w:rFonts w:ascii="宋体" w:hAnsi="宋体" w:eastAsia="宋体" w:cs="宋体"/>
          <w:color w:val="auto"/>
          <w:lang w:eastAsia="zh-CN"/>
        </w:rPr>
      </w:pPr>
      <w:r>
        <w:rPr>
          <w:color w:val="000000"/>
          <w:lang w:eastAsia="zh-CN"/>
        </w:rPr>
        <w:t xml:space="preserve">3. </w:t>
      </w:r>
      <w:r>
        <w:rPr>
          <w:color w:val="000000"/>
          <w:lang w:eastAsia="zh-CN"/>
        </w:rPr>
        <w:tab/>
      </w:r>
      <w:r>
        <w:rPr>
          <w:rFonts w:hint="eastAsia"/>
          <w:color w:val="000000"/>
          <w:lang w:eastAsia="zh-CN"/>
        </w:rPr>
        <w:t>GBON</w:t>
      </w:r>
      <w:r>
        <w:rPr>
          <w:rFonts w:hint="eastAsia" w:ascii="宋体" w:hAnsi="宋体" w:eastAsia="宋体" w:cs="宋体"/>
          <w:color w:val="000000"/>
          <w:lang w:eastAsia="zh-CN"/>
        </w:rPr>
        <w:t>台站/平台的列表由会员和</w:t>
      </w:r>
      <w:r>
        <w:rPr>
          <w:rFonts w:hint="eastAsia"/>
          <w:color w:val="000000"/>
          <w:lang w:eastAsia="zh-CN"/>
        </w:rPr>
        <w:t>INFCOM</w:t>
      </w:r>
      <w:r>
        <w:rPr>
          <w:rFonts w:hint="eastAsia" w:ascii="宋体" w:hAnsi="宋体" w:eastAsia="宋体" w:cs="宋体"/>
          <w:color w:val="000000"/>
          <w:lang w:eastAsia="zh-CN"/>
        </w:rPr>
        <w:t>合作确定。</w:t>
      </w:r>
    </w:p>
    <w:p>
      <w:pPr>
        <w:spacing w:after="240" w:line="240" w:lineRule="exact"/>
        <w:ind w:left="567" w:hanging="567"/>
        <w:rPr>
          <w:color w:val="auto"/>
          <w:lang w:eastAsia="zh-CN"/>
        </w:rPr>
      </w:pPr>
      <w:r>
        <w:rPr>
          <w:rFonts w:eastAsia="Verdana" w:cs="Verdana"/>
          <w:color w:val="000000"/>
          <w:lang w:eastAsia="zh-CN"/>
        </w:rPr>
        <w:t xml:space="preserve">4. </w:t>
      </w:r>
      <w:r>
        <w:rPr>
          <w:rFonts w:eastAsia="Verdana" w:cs="Verdana"/>
          <w:color w:val="000000"/>
          <w:lang w:eastAsia="zh-CN"/>
        </w:rPr>
        <w:tab/>
      </w:r>
      <w:r>
        <w:rPr>
          <w:rFonts w:hint="eastAsia" w:eastAsia="Verdana" w:cs="Verdana"/>
          <w:color w:val="000000"/>
          <w:lang w:eastAsia="zh-CN"/>
        </w:rPr>
        <w:t>INFCOM</w:t>
      </w:r>
      <w:r>
        <w:rPr>
          <w:rFonts w:hint="eastAsia" w:ascii="宋体" w:hAnsi="宋体" w:eastAsia="宋体" w:cs="宋体"/>
          <w:color w:val="000000"/>
          <w:lang w:eastAsia="zh-CN"/>
        </w:rPr>
        <w:t>对</w:t>
      </w:r>
      <w:r>
        <w:rPr>
          <w:rFonts w:hint="eastAsia" w:eastAsia="Verdana" w:cs="Verdana"/>
          <w:color w:val="000000"/>
          <w:lang w:eastAsia="zh-CN"/>
        </w:rPr>
        <w:t>GBON</w:t>
      </w:r>
      <w:r>
        <w:rPr>
          <w:rFonts w:hint="eastAsia" w:ascii="宋体" w:hAnsi="宋体" w:eastAsia="宋体" w:cs="宋体"/>
          <w:color w:val="000000"/>
          <w:lang w:eastAsia="zh-CN"/>
        </w:rPr>
        <w:t>实施状态进行定期分析，告知每个会员为履行</w:t>
      </w:r>
      <w:r>
        <w:rPr>
          <w:rFonts w:hint="eastAsia" w:eastAsia="Verdana" w:cs="Verdana"/>
          <w:color w:val="000000"/>
          <w:lang w:eastAsia="zh-CN"/>
        </w:rPr>
        <w:t>3.2.2.7-3.2.2.10</w:t>
      </w:r>
      <w:r>
        <w:rPr>
          <w:rFonts w:hint="eastAsia" w:ascii="宋体" w:hAnsi="宋体" w:eastAsia="宋体" w:cs="宋体"/>
          <w:color w:val="000000"/>
          <w:lang w:eastAsia="zh-CN"/>
        </w:rPr>
        <w:t>和</w:t>
      </w:r>
      <w:r>
        <w:rPr>
          <w:rFonts w:hint="eastAsia" w:eastAsia="Verdana" w:cs="Verdana"/>
          <w:color w:val="000000"/>
          <w:lang w:eastAsia="zh-CN"/>
        </w:rPr>
        <w:t>3.2.2.12-3.2.2.15</w:t>
      </w:r>
      <w:r>
        <w:rPr>
          <w:rFonts w:hint="eastAsia" w:ascii="宋体" w:hAnsi="宋体" w:eastAsia="宋体" w:cs="宋体"/>
          <w:color w:val="000000"/>
          <w:lang w:eastAsia="zh-CN"/>
        </w:rPr>
        <w:t>规定的义务所需的地面站和高空站的数量。</w:t>
      </w:r>
    </w:p>
    <w:p>
      <w:pPr>
        <w:spacing w:after="240" w:line="240" w:lineRule="exact"/>
        <w:ind w:left="567" w:hanging="567"/>
        <w:rPr>
          <w:rFonts w:ascii="宋体" w:hAnsi="宋体" w:eastAsia="宋体" w:cs="宋体"/>
          <w:color w:val="auto"/>
          <w:lang w:eastAsia="zh-CN"/>
        </w:rPr>
      </w:pPr>
      <w:r>
        <w:rPr>
          <w:rFonts w:eastAsia="Verdana" w:cs="Verdana"/>
          <w:color w:val="000000"/>
          <w:lang w:eastAsia="zh-CN"/>
        </w:rPr>
        <w:t xml:space="preserve">5. </w:t>
      </w:r>
      <w:r>
        <w:rPr>
          <w:rFonts w:eastAsia="Verdana" w:cs="Verdana"/>
          <w:color w:val="000000"/>
          <w:lang w:eastAsia="zh-CN"/>
        </w:rPr>
        <w:tab/>
      </w:r>
      <w:r>
        <w:rPr>
          <w:rFonts w:hint="eastAsia" w:eastAsia="Verdana" w:cs="Verdana"/>
          <w:color w:val="000000"/>
          <w:lang w:eastAsia="zh-CN"/>
        </w:rPr>
        <w:t>INFCOM</w:t>
      </w:r>
      <w:r>
        <w:rPr>
          <w:rFonts w:hint="eastAsia" w:ascii="宋体" w:hAnsi="宋体" w:eastAsia="宋体" w:cs="宋体"/>
          <w:color w:val="000000"/>
          <w:lang w:eastAsia="zh-CN"/>
        </w:rPr>
        <w:t>根据</w:t>
      </w:r>
      <w:r>
        <w:rPr>
          <w:rFonts w:hint="eastAsia" w:eastAsia="Verdana" w:cs="Verdana"/>
          <w:color w:val="000000"/>
          <w:lang w:eastAsia="zh-CN"/>
        </w:rPr>
        <w:t>3.2.2.21</w:t>
      </w:r>
      <w:r>
        <w:rPr>
          <w:rFonts w:hint="eastAsia" w:ascii="宋体" w:hAnsi="宋体" w:eastAsia="宋体" w:cs="宋体"/>
          <w:color w:val="000000"/>
          <w:lang w:eastAsia="zh-CN"/>
        </w:rPr>
        <w:t>审查每个会员是否做出指定的贡献，评估其是否符合</w:t>
      </w:r>
      <w:r>
        <w:rPr>
          <w:rFonts w:hint="eastAsia" w:eastAsia="Verdana" w:cs="Verdana"/>
          <w:color w:val="000000"/>
          <w:lang w:eastAsia="zh-CN"/>
        </w:rPr>
        <w:t>3.2.2.7-3.2.2.10</w:t>
      </w:r>
      <w:r>
        <w:rPr>
          <w:rFonts w:hint="eastAsia" w:ascii="宋体" w:hAnsi="宋体" w:eastAsia="宋体" w:cs="宋体"/>
          <w:color w:val="000000"/>
          <w:lang w:eastAsia="zh-CN"/>
        </w:rPr>
        <w:t>和</w:t>
      </w:r>
      <w:r>
        <w:rPr>
          <w:rFonts w:hint="eastAsia" w:eastAsia="Verdana" w:cs="Verdana"/>
          <w:color w:val="000000"/>
          <w:lang w:eastAsia="zh-CN"/>
        </w:rPr>
        <w:t>3.2.2.12-3.2.2.15</w:t>
      </w:r>
      <w:r>
        <w:rPr>
          <w:rFonts w:hint="eastAsia" w:ascii="宋体" w:hAnsi="宋体" w:eastAsia="宋体" w:cs="宋体"/>
          <w:color w:val="000000"/>
          <w:lang w:eastAsia="zh-CN"/>
        </w:rPr>
        <w:t>规定的要求，并将结果书面通知该会员。</w:t>
      </w:r>
    </w:p>
    <w:p>
      <w:pPr>
        <w:spacing w:after="240" w:line="240" w:lineRule="exact"/>
        <w:ind w:left="567" w:hanging="567"/>
        <w:rPr>
          <w:color w:val="auto"/>
          <w:lang w:eastAsia="zh-CN"/>
        </w:rPr>
      </w:pPr>
      <w:r>
        <w:rPr>
          <w:color w:val="000000"/>
        </w:rPr>
        <w:t xml:space="preserve">6. </w:t>
      </w:r>
      <w:r>
        <w:rPr>
          <w:color w:val="000000"/>
        </w:rPr>
        <w:tab/>
      </w:r>
      <w:r>
        <w:rPr>
          <w:rFonts w:hint="eastAsia" w:ascii="宋体" w:hAnsi="宋体" w:eastAsia="宋体" w:cs="宋体"/>
          <w:color w:val="000000"/>
        </w:rPr>
        <w:t>为了维护</w:t>
      </w:r>
      <w:r>
        <w:rPr>
          <w:rFonts w:hint="eastAsia"/>
          <w:color w:val="000000"/>
        </w:rPr>
        <w:t>GBON</w:t>
      </w:r>
      <w:r>
        <w:rPr>
          <w:rFonts w:hint="eastAsia" w:ascii="宋体" w:hAnsi="宋体" w:eastAsia="宋体" w:cs="宋体"/>
          <w:color w:val="000000"/>
        </w:rPr>
        <w:t>，会员</w:t>
      </w:r>
      <w:r>
        <w:rPr>
          <w:rFonts w:hint="eastAsia" w:ascii="宋体" w:hAnsi="宋体" w:eastAsia="宋体" w:cs="宋体"/>
          <w:color w:val="000000"/>
          <w:lang w:eastAsia="zh-CN"/>
        </w:rPr>
        <w:t>提议</w:t>
      </w:r>
      <w:r>
        <w:rPr>
          <w:rFonts w:hint="eastAsia" w:ascii="宋体" w:hAnsi="宋体" w:eastAsia="宋体" w:cs="宋体"/>
          <w:color w:val="000000"/>
        </w:rPr>
        <w:t>指定（或删除）</w:t>
      </w:r>
      <w:r>
        <w:rPr>
          <w:rFonts w:hint="eastAsia" w:ascii="宋体" w:hAnsi="宋体" w:eastAsia="宋体" w:cs="宋体"/>
          <w:color w:val="000000"/>
          <w:lang w:eastAsia="zh-CN"/>
        </w:rPr>
        <w:t>某</w:t>
      </w:r>
      <w:r>
        <w:rPr>
          <w:rFonts w:hint="eastAsia"/>
          <w:color w:val="000000"/>
        </w:rPr>
        <w:t>GBON</w:t>
      </w:r>
      <w:r>
        <w:rPr>
          <w:rFonts w:hint="eastAsia" w:ascii="宋体" w:hAnsi="宋体" w:eastAsia="宋体" w:cs="宋体"/>
          <w:color w:val="000000"/>
          <w:lang w:val="en-US" w:eastAsia="zh-CN"/>
        </w:rPr>
        <w:t>台站</w:t>
      </w:r>
      <w:r>
        <w:rPr>
          <w:rFonts w:hint="eastAsia" w:ascii="宋体" w:hAnsi="宋体" w:eastAsia="宋体" w:cs="宋体"/>
          <w:color w:val="000000"/>
        </w:rPr>
        <w:t>，并在</w:t>
      </w:r>
      <w:r>
        <w:fldChar w:fldCharType="begin"/>
      </w:r>
      <w:r>
        <w:instrText xml:space="preserve">HYPERLINK "https://oscar.wmo.int/surface/" \l "/"</w:instrText>
      </w:r>
      <w:r>
        <w:fldChar w:fldCharType="separate"/>
      </w:r>
      <w:r>
        <w:rPr>
          <w:rStyle w:val="43"/>
          <w:rFonts w:hint="eastAsia" w:eastAsia="宋体"/>
          <w:lang w:val="en-US" w:eastAsia="zh-CN"/>
        </w:rPr>
        <w:t>OSCAR/地表</w:t>
      </w:r>
      <w:r>
        <w:rPr>
          <w:rStyle w:val="43"/>
          <w:rFonts w:eastAsia="宋体"/>
          <w:lang w:val="en-US" w:eastAsia="zh-CN"/>
        </w:rPr>
        <w:fldChar w:fldCharType="end"/>
      </w:r>
      <w:r>
        <w:rPr>
          <w:rFonts w:hint="eastAsia" w:ascii="宋体" w:hAnsi="宋体" w:eastAsia="宋体" w:cs="宋体"/>
          <w:color w:val="000000"/>
        </w:rPr>
        <w:t>中由其相应的国家联络人进行记录。</w:t>
      </w:r>
      <w:r>
        <w:rPr>
          <w:rFonts w:hint="eastAsia" w:ascii="宋体" w:hAnsi="宋体" w:eastAsia="宋体" w:cs="宋体"/>
          <w:color w:val="000000"/>
          <w:lang w:eastAsia="zh-CN"/>
        </w:rPr>
        <w:t>所有指定的</w:t>
      </w:r>
      <w:r>
        <w:rPr>
          <w:rFonts w:hint="eastAsia"/>
          <w:color w:val="000000"/>
          <w:lang w:eastAsia="zh-CN"/>
        </w:rPr>
        <w:t>GBON</w:t>
      </w:r>
      <w:r>
        <w:rPr>
          <w:rFonts w:hint="eastAsia" w:ascii="宋体" w:hAnsi="宋体" w:eastAsia="宋体" w:cs="宋体"/>
          <w:color w:val="000000"/>
          <w:lang w:eastAsia="zh-CN"/>
        </w:rPr>
        <w:t>台站将自动出现在专用的</w:t>
      </w:r>
      <w:r>
        <w:rPr>
          <w:rFonts w:hint="eastAsia"/>
          <w:color w:val="000000"/>
          <w:lang w:eastAsia="zh-CN"/>
        </w:rPr>
        <w:t>GBON</w:t>
      </w:r>
      <w:r>
        <w:rPr>
          <w:rFonts w:hint="eastAsia" w:ascii="宋体" w:hAnsi="宋体" w:eastAsia="宋体" w:cs="宋体"/>
          <w:color w:val="000000"/>
          <w:lang w:eastAsia="zh-CN"/>
        </w:rPr>
        <w:t>网络工具上。会员在</w:t>
      </w:r>
      <w:r>
        <w:rPr>
          <w:rFonts w:hint="eastAsia"/>
          <w:color w:val="000000"/>
        </w:rPr>
        <w:fldChar w:fldCharType="begin"/>
      </w:r>
      <w:r>
        <w:rPr>
          <w:rFonts w:hint="eastAsia"/>
          <w:color w:val="000000"/>
          <w:lang w:eastAsia="zh-CN"/>
        </w:rPr>
        <w:instrText xml:space="preserve"> HYPERLINK "https://oscar.wmo.int/surface/" \l "/" </w:instrText>
      </w:r>
      <w:r>
        <w:rPr>
          <w:rFonts w:hint="eastAsia"/>
          <w:color w:val="000000"/>
        </w:rPr>
        <w:fldChar w:fldCharType="separate"/>
      </w:r>
      <w:r>
        <w:rPr>
          <w:rStyle w:val="43"/>
          <w:rFonts w:hint="eastAsia"/>
          <w:color w:val="000000"/>
          <w:lang w:eastAsia="zh-CN"/>
        </w:rPr>
        <w:t>OSCAR/地表</w:t>
      </w:r>
      <w:r>
        <w:rPr>
          <w:rFonts w:hint="eastAsia"/>
          <w:color w:val="000000"/>
        </w:rPr>
        <w:fldChar w:fldCharType="end"/>
      </w:r>
      <w:r>
        <w:rPr>
          <w:rFonts w:hint="eastAsia" w:ascii="宋体" w:hAnsi="宋体" w:eastAsia="宋体" w:cs="宋体"/>
          <w:color w:val="000000"/>
          <w:lang w:eastAsia="zh-CN"/>
        </w:rPr>
        <w:t>中指定的站点将被记录为“待批准”状态，以反映其与</w:t>
      </w:r>
      <w:r>
        <w:rPr>
          <w:rFonts w:hint="eastAsia"/>
          <w:color w:val="000000"/>
          <w:lang w:eastAsia="zh-CN"/>
        </w:rPr>
        <w:t>GBON</w:t>
      </w:r>
      <w:r>
        <w:rPr>
          <w:rFonts w:hint="eastAsia" w:ascii="宋体" w:hAnsi="宋体" w:eastAsia="宋体" w:cs="宋体"/>
          <w:color w:val="000000"/>
          <w:lang w:eastAsia="zh-CN"/>
        </w:rPr>
        <w:t>的关系。</w:t>
      </w:r>
    </w:p>
    <w:p>
      <w:pPr>
        <w:spacing w:after="240" w:line="240" w:lineRule="exact"/>
        <w:ind w:left="567" w:hanging="567"/>
        <w:rPr>
          <w:color w:val="auto"/>
          <w:lang w:eastAsia="zh-CN"/>
        </w:rPr>
      </w:pPr>
      <w:r>
        <w:rPr>
          <w:color w:val="000000"/>
          <w:lang w:eastAsia="zh-CN"/>
        </w:rPr>
        <w:t xml:space="preserve">7. </w:t>
      </w:r>
      <w:r>
        <w:rPr>
          <w:color w:val="000000"/>
          <w:lang w:eastAsia="zh-CN"/>
        </w:rPr>
        <w:tab/>
      </w:r>
      <w:r>
        <w:rPr>
          <w:rFonts w:hint="eastAsia"/>
          <w:color w:val="000000"/>
          <w:lang w:eastAsia="zh-CN"/>
        </w:rPr>
        <w:t>INFCOM</w:t>
      </w:r>
      <w:r>
        <w:rPr>
          <w:rFonts w:hint="eastAsia" w:ascii="宋体" w:hAnsi="宋体" w:eastAsia="宋体" w:cs="宋体"/>
          <w:color w:val="000000"/>
          <w:lang w:eastAsia="zh-CN"/>
        </w:rPr>
        <w:t>主席在秘书处的协助下，审查拟议的指定，编写提交</w:t>
      </w:r>
      <w:r>
        <w:rPr>
          <w:rFonts w:hint="eastAsia"/>
          <w:color w:val="000000"/>
          <w:lang w:eastAsia="zh-CN"/>
        </w:rPr>
        <w:t>INFCOM</w:t>
      </w:r>
      <w:r>
        <w:rPr>
          <w:rFonts w:hint="eastAsia" w:ascii="宋体" w:hAnsi="宋体" w:eastAsia="宋体" w:cs="宋体"/>
          <w:color w:val="000000"/>
          <w:lang w:eastAsia="zh-CN"/>
        </w:rPr>
        <w:t>的关于更新</w:t>
      </w:r>
      <w:r>
        <w:rPr>
          <w:rFonts w:hint="eastAsia"/>
          <w:color w:val="000000"/>
          <w:lang w:eastAsia="zh-CN"/>
        </w:rPr>
        <w:t>GBON</w:t>
      </w:r>
      <w:r>
        <w:rPr>
          <w:rFonts w:hint="eastAsia" w:ascii="宋体" w:hAnsi="宋体" w:eastAsia="宋体" w:cs="微软雅黑"/>
          <w:color w:val="000000"/>
          <w:lang w:eastAsia="zh-CN"/>
        </w:rPr>
        <w:t>台站列表</w:t>
      </w:r>
      <w:r>
        <w:rPr>
          <w:rFonts w:hint="eastAsia" w:ascii="宋体" w:hAnsi="宋体" w:eastAsia="宋体" w:cs="宋体"/>
          <w:color w:val="000000"/>
          <w:lang w:eastAsia="zh-CN"/>
        </w:rPr>
        <w:t>的决议草案，并在</w:t>
      </w:r>
      <w:r>
        <w:rPr>
          <w:rFonts w:hint="eastAsia"/>
          <w:color w:val="000000"/>
          <w:lang w:eastAsia="zh-CN"/>
        </w:rPr>
        <w:t>INFCOM</w:t>
      </w:r>
      <w:r>
        <w:rPr>
          <w:rFonts w:hint="eastAsia" w:ascii="宋体" w:hAnsi="宋体" w:eastAsia="宋体" w:cs="宋体"/>
          <w:color w:val="000000"/>
          <w:lang w:eastAsia="zh-CN"/>
        </w:rPr>
        <w:t>届会召开前三个月发送给所有会员。</w:t>
      </w:r>
    </w:p>
    <w:p>
      <w:pPr>
        <w:spacing w:after="240" w:line="240" w:lineRule="exact"/>
        <w:ind w:left="567" w:hanging="567"/>
        <w:rPr>
          <w:rFonts w:ascii="宋体" w:hAnsi="宋体" w:eastAsia="宋体" w:cs="宋体"/>
          <w:color w:val="auto"/>
          <w:lang w:eastAsia="zh-CN"/>
        </w:rPr>
      </w:pPr>
      <w:r>
        <w:rPr>
          <w:color w:val="000000"/>
          <w:lang w:eastAsia="zh-CN"/>
        </w:rPr>
        <w:t xml:space="preserve">8. </w:t>
      </w:r>
      <w:r>
        <w:rPr>
          <w:color w:val="000000"/>
          <w:lang w:eastAsia="zh-CN"/>
        </w:rPr>
        <w:tab/>
      </w:r>
      <w:r>
        <w:rPr>
          <w:rFonts w:hint="eastAsia" w:ascii="宋体" w:hAnsi="宋体" w:eastAsia="宋体" w:cs="宋体"/>
          <w:color w:val="000000"/>
          <w:lang w:eastAsia="zh-CN"/>
        </w:rPr>
        <w:t>根据会员提供的反馈意见，确定有关</w:t>
      </w:r>
      <w:r>
        <w:rPr>
          <w:rFonts w:hint="eastAsia"/>
          <w:color w:val="000000"/>
          <w:lang w:eastAsia="zh-CN"/>
        </w:rPr>
        <w:t>GBON</w:t>
      </w:r>
      <w:r>
        <w:rPr>
          <w:rFonts w:hint="eastAsia" w:ascii="宋体" w:hAnsi="宋体" w:eastAsia="宋体" w:cs="微软雅黑"/>
          <w:color w:val="000000"/>
          <w:lang w:eastAsia="zh-CN"/>
        </w:rPr>
        <w:t>台站列表</w:t>
      </w:r>
      <w:r>
        <w:rPr>
          <w:rFonts w:hint="eastAsia" w:ascii="宋体" w:hAnsi="宋体" w:eastAsia="宋体" w:cs="宋体"/>
          <w:color w:val="000000"/>
          <w:lang w:eastAsia="zh-CN"/>
        </w:rPr>
        <w:t>的决议草案定稿，提交</w:t>
      </w:r>
      <w:r>
        <w:rPr>
          <w:rFonts w:hint="eastAsia"/>
          <w:color w:val="000000"/>
          <w:lang w:eastAsia="zh-CN"/>
        </w:rPr>
        <w:t>INFCOM</w:t>
      </w:r>
      <w:r>
        <w:rPr>
          <w:rFonts w:hint="eastAsia" w:ascii="宋体" w:hAnsi="宋体" w:eastAsia="宋体" w:cs="宋体"/>
          <w:color w:val="000000"/>
          <w:lang w:eastAsia="zh-CN"/>
        </w:rPr>
        <w:t>批准。</w:t>
      </w:r>
    </w:p>
    <w:p>
      <w:pPr>
        <w:spacing w:after="240" w:line="240" w:lineRule="exact"/>
        <w:rPr>
          <w:rFonts w:ascii="宋体" w:hAnsi="宋体" w:eastAsia="宋体" w:cs="宋体"/>
          <w:shd w:val="clear" w:color="auto" w:fill="FFFFFF"/>
          <w:lang w:eastAsia="zh-CN"/>
        </w:rPr>
      </w:pPr>
      <w:r>
        <w:rPr>
          <w:rFonts w:eastAsia="宋体" w:cs="Verdana"/>
          <w:lang w:eastAsia="zh-CN"/>
        </w:rPr>
        <w:t>INFCOM</w:t>
      </w:r>
      <w:r>
        <w:rPr>
          <w:rFonts w:hint="eastAsia" w:eastAsia="宋体" w:cs="Verdana"/>
          <w:lang w:eastAsia="zh-CN"/>
        </w:rPr>
        <w:t>在其</w:t>
      </w:r>
      <w:r>
        <w:rPr>
          <w:rFonts w:hint="eastAsia" w:ascii="宋体" w:hAnsi="宋体" w:eastAsia="宋体" w:cs="宋体"/>
          <w:lang w:eastAsia="zh-CN"/>
        </w:rPr>
        <w:t>届会期间根据</w:t>
      </w:r>
      <w:r>
        <w:fldChar w:fldCharType="begin"/>
      </w:r>
      <w:r>
        <w:instrText xml:space="preserve"> HYPERLINK "https://community.wmo.int/en/global-basic-observing-network-gbon-station-designations-map" </w:instrText>
      </w:r>
      <w:r>
        <w:fldChar w:fldCharType="separate"/>
      </w:r>
      <w:r>
        <w:rPr>
          <w:rStyle w:val="43"/>
          <w:rFonts w:eastAsia="宋体" w:cs="Verdana"/>
          <w:lang w:eastAsia="zh-CN"/>
        </w:rPr>
        <w:t>GBON</w:t>
      </w:r>
      <w:r>
        <w:rPr>
          <w:rStyle w:val="43"/>
          <w:rFonts w:hint="eastAsia" w:ascii="宋体" w:hAnsi="宋体" w:eastAsia="宋体" w:cs="宋体"/>
          <w:lang w:eastAsia="zh-CN"/>
        </w:rPr>
        <w:t>网络工具</w:t>
      </w:r>
      <w:r>
        <w:rPr>
          <w:rStyle w:val="43"/>
          <w:rFonts w:hint="eastAsia" w:ascii="宋体" w:hAnsi="宋体" w:eastAsia="宋体" w:cs="宋体"/>
          <w:lang w:eastAsia="zh-CN"/>
        </w:rPr>
        <w:fldChar w:fldCharType="end"/>
      </w:r>
      <w:r>
        <w:rPr>
          <w:rFonts w:hint="eastAsia" w:ascii="宋体" w:hAnsi="宋体" w:eastAsia="宋体" w:cs="宋体"/>
          <w:lang w:eastAsia="zh-CN"/>
        </w:rPr>
        <w:t>中新指定的</w:t>
      </w:r>
      <w:r>
        <w:rPr>
          <w:rFonts w:eastAsia="宋体" w:cs="Verdana"/>
          <w:lang w:eastAsia="zh-CN"/>
        </w:rPr>
        <w:t>GBON</w:t>
      </w:r>
      <w:r>
        <w:rPr>
          <w:rFonts w:hint="eastAsia" w:ascii="宋体" w:hAnsi="宋体" w:eastAsia="宋体" w:cs="宋体"/>
          <w:lang w:eastAsia="zh-CN"/>
        </w:rPr>
        <w:t>台站，决定新的</w:t>
      </w:r>
      <w:r>
        <w:rPr>
          <w:rFonts w:eastAsia="宋体" w:cs="Verdana"/>
          <w:lang w:eastAsia="zh-CN"/>
        </w:rPr>
        <w:t>GBON</w:t>
      </w:r>
      <w:r>
        <w:rPr>
          <w:rFonts w:hint="eastAsia" w:ascii="宋体" w:hAnsi="宋体" w:eastAsia="宋体" w:cs="宋体"/>
          <w:lang w:eastAsia="zh-CN"/>
        </w:rPr>
        <w:t>台站列表。届会期间可以做出调整，再由</w:t>
      </w:r>
      <w:r>
        <w:rPr>
          <w:rFonts w:eastAsia="宋体" w:cs="Verdana"/>
          <w:lang w:eastAsia="zh-CN"/>
        </w:rPr>
        <w:t>INFCOM</w:t>
      </w:r>
      <w:r>
        <w:rPr>
          <w:rFonts w:hint="eastAsia" w:ascii="宋体" w:hAnsi="宋体" w:eastAsia="宋体" w:cs="宋体"/>
          <w:lang w:eastAsia="zh-CN"/>
        </w:rPr>
        <w:t>批准通过新的</w:t>
      </w:r>
      <w:r>
        <w:rPr>
          <w:rFonts w:eastAsia="宋体" w:cs="Verdana"/>
          <w:lang w:eastAsia="zh-CN"/>
        </w:rPr>
        <w:t>GBON</w:t>
      </w:r>
      <w:r>
        <w:rPr>
          <w:rFonts w:hint="eastAsia" w:ascii="宋体" w:hAnsi="宋体" w:eastAsia="宋体" w:cs="宋体"/>
          <w:lang w:eastAsia="zh-CN"/>
        </w:rPr>
        <w:t>台站列表。在这一阶段，秘书处将根据</w:t>
      </w:r>
      <w:r>
        <w:rPr>
          <w:rFonts w:eastAsia="宋体" w:cs="Verdana"/>
          <w:lang w:eastAsia="zh-CN"/>
        </w:rPr>
        <w:t>INFCOM</w:t>
      </w:r>
      <w:r>
        <w:rPr>
          <w:rFonts w:hint="eastAsia" w:ascii="宋体" w:hAnsi="宋体" w:eastAsia="宋体" w:cs="宋体"/>
          <w:lang w:eastAsia="zh-CN"/>
        </w:rPr>
        <w:t>的实际决定，把“待批准”的</w:t>
      </w:r>
      <w:r>
        <w:rPr>
          <w:rFonts w:eastAsia="宋体" w:cs="Verdana"/>
          <w:lang w:eastAsia="zh-CN"/>
        </w:rPr>
        <w:t>GBON</w:t>
      </w:r>
      <w:r>
        <w:rPr>
          <w:rFonts w:hint="eastAsia" w:ascii="宋体" w:hAnsi="宋体" w:eastAsia="宋体" w:cs="宋体"/>
          <w:lang w:eastAsia="zh-CN"/>
        </w:rPr>
        <w:t>台站转为“已批准”的台站。</w:t>
      </w:r>
      <w:r>
        <w:rPr>
          <w:rFonts w:eastAsia="宋体" w:cs="Verdana"/>
          <w:lang w:eastAsia="zh-CN"/>
        </w:rPr>
        <w:t>INFCOM</w:t>
      </w:r>
      <w:r>
        <w:rPr>
          <w:rFonts w:hint="eastAsia" w:ascii="宋体" w:hAnsi="宋体" w:eastAsia="宋体" w:cs="宋体"/>
          <w:lang w:eastAsia="zh-CN"/>
        </w:rPr>
        <w:t>主席还被授权在</w:t>
      </w:r>
      <w:r>
        <w:rPr>
          <w:rFonts w:eastAsia="宋体" w:cs="Verdana"/>
          <w:lang w:eastAsia="zh-CN"/>
        </w:rPr>
        <w:t>INFCOM</w:t>
      </w:r>
      <w:r>
        <w:rPr>
          <w:rFonts w:hint="eastAsia" w:ascii="宋体" w:hAnsi="宋体" w:eastAsia="宋体" w:cs="宋体"/>
          <w:lang w:eastAsia="zh-CN"/>
        </w:rPr>
        <w:t>闭会期间代表委员会批准对</w:t>
      </w:r>
      <w:r>
        <w:rPr>
          <w:rFonts w:eastAsia="宋体" w:cs="Verdana"/>
          <w:lang w:eastAsia="zh-CN"/>
        </w:rPr>
        <w:t>GBON</w:t>
      </w:r>
      <w:r>
        <w:rPr>
          <w:rFonts w:hint="eastAsia" w:eastAsia="宋体" w:cs="Verdana"/>
          <w:lang w:eastAsia="zh-CN"/>
        </w:rPr>
        <w:t>台站列表做出</w:t>
      </w:r>
      <w:r>
        <w:rPr>
          <w:rFonts w:hint="eastAsia" w:ascii="宋体" w:hAnsi="宋体" w:eastAsia="宋体" w:cs="宋体"/>
          <w:lang w:eastAsia="zh-CN"/>
        </w:rPr>
        <w:t>小幅调整。</w:t>
      </w:r>
    </w:p>
    <w:p>
      <w:pPr>
        <w:spacing w:after="240" w:line="240" w:lineRule="exact"/>
        <w:rPr>
          <w:shd w:val="clear" w:color="auto" w:fill="FFFFFF"/>
          <w:lang w:eastAsia="zh-CN"/>
        </w:rPr>
      </w:pPr>
      <w:r>
        <w:rPr>
          <w:rFonts w:hint="eastAsia"/>
          <w:shd w:val="clear" w:color="auto" w:fill="FFFFFF"/>
          <w:lang w:eastAsia="zh-CN"/>
        </w:rPr>
        <w:t>为</w:t>
      </w:r>
      <w:r>
        <w:rPr>
          <w:rFonts w:hint="eastAsia" w:ascii="宋体" w:hAnsi="宋体" w:eastAsia="宋体" w:cs="微软雅黑"/>
          <w:shd w:val="clear" w:color="auto" w:fill="FFFFFF"/>
          <w:lang w:eastAsia="zh-CN"/>
        </w:rPr>
        <w:t>促进</w:t>
      </w:r>
      <w:r>
        <w:rPr>
          <w:rFonts w:hint="eastAsia"/>
          <w:shd w:val="clear" w:color="auto" w:fill="FFFFFF"/>
          <w:lang w:eastAsia="zh-CN"/>
        </w:rPr>
        <w:t>指定程序</w:t>
      </w:r>
      <w:r>
        <w:rPr>
          <w:rFonts w:hint="eastAsia" w:ascii="宋体" w:hAnsi="宋体" w:eastAsia="宋体" w:cs="微软雅黑"/>
          <w:shd w:val="clear" w:color="auto" w:fill="FFFFFF"/>
          <w:lang w:eastAsia="zh-CN"/>
        </w:rPr>
        <w:t>的顺利进行</w:t>
      </w:r>
      <w:r>
        <w:rPr>
          <w:rFonts w:hint="eastAsia"/>
          <w:shd w:val="clear" w:color="auto" w:fill="FFFFFF"/>
          <w:lang w:eastAsia="zh-CN"/>
        </w:rPr>
        <w:t>，敦促会员采取下列行动：</w:t>
      </w:r>
    </w:p>
    <w:p>
      <w:pPr>
        <w:pStyle w:val="318"/>
        <w:numPr>
          <w:ilvl w:val="0"/>
          <w:numId w:val="1"/>
        </w:numPr>
        <w:tabs>
          <w:tab w:val="left" w:pos="1134"/>
        </w:tabs>
        <w:spacing w:after="240" w:line="240" w:lineRule="exact"/>
        <w:ind w:left="567" w:hanging="567"/>
        <w:jc w:val="both"/>
        <w:rPr>
          <w:rFonts w:ascii="Verdana" w:hAnsi="Verdana"/>
          <w:sz w:val="20"/>
          <w:szCs w:val="20"/>
          <w:lang w:val="en-GB" w:eastAsia="zh-CN"/>
        </w:rPr>
      </w:pPr>
      <w:r>
        <w:rPr>
          <w:rFonts w:hint="eastAsia" w:ascii="Verdana" w:hAnsi="Verdana"/>
          <w:sz w:val="20"/>
          <w:szCs w:val="20"/>
          <w:lang w:val="en-GB" w:eastAsia="zh-CN"/>
        </w:rPr>
        <w:t>确保提名一个OSCAR/地表的国家联络人，并确保其有权指定GBON台站（参见</w:t>
      </w:r>
      <w:r>
        <w:rPr>
          <w:rFonts w:hint="eastAsia" w:ascii="Verdana" w:hAnsi="Verdana"/>
          <w:sz w:val="20"/>
          <w:szCs w:val="20"/>
          <w:lang w:val="en-GB"/>
        </w:rPr>
        <w:fldChar w:fldCharType="begin"/>
      </w:r>
      <w:r>
        <w:rPr>
          <w:rFonts w:hint="eastAsia" w:ascii="Verdana" w:hAnsi="Verdana"/>
          <w:sz w:val="20"/>
          <w:szCs w:val="20"/>
          <w:lang w:val="en-GB" w:eastAsia="zh-CN"/>
        </w:rPr>
        <w:instrText xml:space="preserve"> HYPERLINK "https://community.wmo.int/en/governance/commission-membership/commission-observation-infrastructure-and-information-systems-infcom/standing-committee-earth-observing-systems-and-monitoring-networks-sc/national-focal-points-oscarsurface" </w:instrText>
      </w:r>
      <w:r>
        <w:rPr>
          <w:rFonts w:hint="eastAsia" w:ascii="Verdana" w:hAnsi="Verdana"/>
          <w:sz w:val="20"/>
          <w:szCs w:val="20"/>
          <w:lang w:val="en-GB"/>
        </w:rPr>
        <w:fldChar w:fldCharType="separate"/>
      </w:r>
      <w:r>
        <w:rPr>
          <w:rStyle w:val="43"/>
          <w:rFonts w:hint="eastAsia" w:ascii="Verdana" w:hAnsi="Verdana"/>
          <w:sz w:val="20"/>
          <w:szCs w:val="20"/>
          <w:lang w:val="en-GB" w:eastAsia="zh-CN"/>
        </w:rPr>
        <w:t>指定的国家联络人列表</w:t>
      </w:r>
      <w:r>
        <w:rPr>
          <w:rFonts w:hint="eastAsia" w:ascii="Verdana" w:hAnsi="Verdana"/>
          <w:sz w:val="20"/>
          <w:szCs w:val="20"/>
          <w:lang w:val="en-GB"/>
        </w:rPr>
        <w:fldChar w:fldCharType="end"/>
      </w:r>
      <w:r>
        <w:rPr>
          <w:rFonts w:hint="eastAsia" w:ascii="Verdana" w:hAnsi="Verdana"/>
          <w:sz w:val="20"/>
          <w:szCs w:val="20"/>
          <w:lang w:val="en-GB" w:eastAsia="zh-CN"/>
        </w:rPr>
        <w:t>）。</w:t>
      </w:r>
    </w:p>
    <w:p>
      <w:pPr>
        <w:pStyle w:val="318"/>
        <w:numPr>
          <w:ilvl w:val="0"/>
          <w:numId w:val="1"/>
        </w:numPr>
        <w:tabs>
          <w:tab w:val="left" w:pos="1134"/>
        </w:tabs>
        <w:spacing w:after="240" w:line="240" w:lineRule="exact"/>
        <w:ind w:left="567" w:hanging="567"/>
        <w:jc w:val="both"/>
        <w:rPr>
          <w:rFonts w:ascii="Verdana" w:hAnsi="Verdana"/>
          <w:sz w:val="20"/>
          <w:szCs w:val="20"/>
          <w:lang w:val="en-GB" w:eastAsia="zh-CN"/>
        </w:rPr>
      </w:pPr>
      <w:r>
        <w:rPr>
          <w:rFonts w:hint="eastAsia" w:ascii="Verdana" w:hAnsi="Verdana"/>
          <w:sz w:val="20"/>
          <w:szCs w:val="20"/>
          <w:lang w:val="en-GB" w:eastAsia="zh-CN"/>
        </w:rPr>
        <w:t>根据GBON要求定期进行国家差距分析（见有关GBON管理的第4节中的指导方针和模板）。</w:t>
      </w:r>
    </w:p>
    <w:p>
      <w:pPr>
        <w:pStyle w:val="318"/>
        <w:numPr>
          <w:ilvl w:val="0"/>
          <w:numId w:val="1"/>
        </w:numPr>
        <w:tabs>
          <w:tab w:val="left" w:pos="1134"/>
        </w:tabs>
        <w:spacing w:after="240" w:line="240" w:lineRule="exact"/>
        <w:ind w:left="567" w:hanging="567"/>
        <w:jc w:val="both"/>
        <w:rPr>
          <w:rFonts w:ascii="Verdana" w:hAnsi="Verdana"/>
          <w:sz w:val="20"/>
          <w:szCs w:val="20"/>
          <w:lang w:val="en-GB" w:eastAsia="zh-CN"/>
        </w:rPr>
      </w:pPr>
      <w:r>
        <w:rPr>
          <w:rFonts w:hint="eastAsia" w:ascii="Verdana" w:hAnsi="Verdana"/>
          <w:sz w:val="20"/>
          <w:szCs w:val="20"/>
          <w:lang w:val="en-GB" w:eastAsia="zh-CN"/>
        </w:rPr>
        <w:t>制定并更新其国家GBON目标和国家GBON贡献计划（见第5.3节中的指导方针）。</w:t>
      </w:r>
    </w:p>
    <w:p>
      <w:pPr>
        <w:pStyle w:val="318"/>
        <w:spacing w:before="240" w:after="200" w:line="240" w:lineRule="auto"/>
        <w:ind w:left="357" w:hanging="357"/>
        <w:outlineLvl w:val="2"/>
        <w:rPr>
          <w:rFonts w:ascii="微软雅黑" w:hAnsi="微软雅黑" w:eastAsia="微软雅黑" w:cs="微软雅黑"/>
          <w:b/>
          <w:bCs/>
          <w:sz w:val="20"/>
          <w:szCs w:val="20"/>
          <w:lang w:val="en-GB" w:eastAsia="zh-CN"/>
        </w:rPr>
      </w:pPr>
      <w:r>
        <w:rPr>
          <w:rFonts w:ascii="Verdana" w:hAnsi="Verdana"/>
          <w:b/>
          <w:bCs/>
          <w:sz w:val="20"/>
          <w:szCs w:val="20"/>
          <w:lang w:val="en-GB" w:eastAsia="zh-CN"/>
        </w:rPr>
        <w:t xml:space="preserve">3.2 </w:t>
      </w:r>
      <w:r>
        <w:rPr>
          <w:rFonts w:ascii="Verdana" w:hAnsi="Verdana"/>
          <w:b/>
          <w:bCs/>
          <w:sz w:val="20"/>
          <w:szCs w:val="20"/>
          <w:lang w:val="en-GB" w:eastAsia="zh-CN"/>
        </w:rPr>
        <w:tab/>
      </w:r>
      <w:r>
        <w:rPr>
          <w:rFonts w:hint="eastAsia" w:ascii="Verdana" w:hAnsi="Verdana"/>
          <w:b/>
          <w:bCs/>
          <w:sz w:val="20"/>
          <w:szCs w:val="20"/>
          <w:lang w:val="en-GB" w:eastAsia="zh-CN"/>
        </w:rPr>
        <w:t>GBON</w:t>
      </w:r>
      <w:r>
        <w:rPr>
          <w:rFonts w:hint="eastAsia" w:ascii="微软雅黑" w:hAnsi="微软雅黑" w:eastAsia="微软雅黑" w:cs="微软雅黑"/>
          <w:b/>
          <w:bCs/>
          <w:sz w:val="20"/>
          <w:szCs w:val="20"/>
          <w:lang w:val="en-GB" w:eastAsia="zh-CN"/>
        </w:rPr>
        <w:t>台站的删除程序</w:t>
      </w:r>
    </w:p>
    <w:p>
      <w:pPr>
        <w:tabs>
          <w:tab w:val="left" w:pos="1134"/>
        </w:tabs>
        <w:spacing w:after="240" w:line="240" w:lineRule="exact"/>
        <w:jc w:val="both"/>
        <w:rPr>
          <w:lang w:eastAsia="zh-CN"/>
        </w:rPr>
      </w:pPr>
      <w:r>
        <w:rPr>
          <w:rFonts w:hint="eastAsia"/>
          <w:lang w:eastAsia="zh-CN"/>
        </w:rPr>
        <w:t>基于以下原因，会员可能希望</w:t>
      </w:r>
      <w:r>
        <w:rPr>
          <w:rFonts w:hint="eastAsia" w:ascii="宋体" w:hAnsi="宋体" w:eastAsia="宋体" w:cs="微软雅黑"/>
          <w:lang w:eastAsia="zh-CN"/>
        </w:rPr>
        <w:t>从</w:t>
      </w:r>
      <w:r>
        <w:rPr>
          <w:rFonts w:hint="eastAsia"/>
          <w:lang w:eastAsia="zh-CN"/>
        </w:rPr>
        <w:t>GBON台</w:t>
      </w:r>
      <w:r>
        <w:rPr>
          <w:rFonts w:hint="eastAsia" w:ascii="宋体" w:hAnsi="宋体" w:eastAsia="宋体"/>
          <w:lang w:eastAsia="zh-CN"/>
        </w:rPr>
        <w:t>站</w:t>
      </w:r>
      <w:r>
        <w:rPr>
          <w:rFonts w:hint="eastAsia" w:ascii="宋体" w:hAnsi="宋体" w:eastAsia="宋体" w:cs="微软雅黑"/>
          <w:lang w:eastAsia="zh-CN"/>
        </w:rPr>
        <w:t>列表中删除某台站</w:t>
      </w:r>
      <w:r>
        <w:rPr>
          <w:rFonts w:hint="eastAsia"/>
          <w:lang w:eastAsia="zh-CN"/>
        </w:rPr>
        <w:t>：台站</w:t>
      </w:r>
      <w:r>
        <w:rPr>
          <w:rFonts w:hint="eastAsia" w:eastAsia="宋体"/>
          <w:lang w:val="en-US" w:eastAsia="zh-CN"/>
        </w:rPr>
        <w:t>不再运行；台站搬迁到另一地点，并被分配了不同的WIGOS台站标识符；运行台站的国家气象和水文部门（NMHS）或其伙伴组织不再有能力按照GBON要求运行该站；台站与其他GBON台站重复等。在上述情况下，台站不会从</w:t>
      </w:r>
      <w:r>
        <w:fldChar w:fldCharType="begin"/>
      </w:r>
      <w:r>
        <w:instrText xml:space="preserve"> HYPERLINK "https://oscar.wmo.int/surface/" \l "/" </w:instrText>
      </w:r>
      <w:r>
        <w:fldChar w:fldCharType="separate"/>
      </w:r>
      <w:r>
        <w:rPr>
          <w:rStyle w:val="43"/>
          <w:rFonts w:hint="eastAsia" w:eastAsia="宋体"/>
          <w:lang w:val="en-US" w:eastAsia="zh-CN"/>
        </w:rPr>
        <w:t>OSCAR/地表</w:t>
      </w:r>
      <w:r>
        <w:rPr>
          <w:rStyle w:val="43"/>
          <w:rFonts w:hint="eastAsia" w:eastAsia="宋体"/>
          <w:lang w:val="en-US" w:eastAsia="zh-CN"/>
        </w:rPr>
        <w:fldChar w:fldCharType="end"/>
      </w:r>
      <w:r>
        <w:rPr>
          <w:rFonts w:hint="eastAsia" w:eastAsia="宋体"/>
          <w:lang w:val="en-US" w:eastAsia="zh-CN"/>
        </w:rPr>
        <w:t>中删除，也不会</w:t>
      </w:r>
      <w:r>
        <w:rPr>
          <w:rFonts w:hint="eastAsia" w:ascii="宋体" w:hAnsi="宋体" w:eastAsia="宋体" w:cs="微软雅黑"/>
          <w:lang w:eastAsia="zh-CN"/>
        </w:rPr>
        <w:t>从</w:t>
      </w:r>
      <w:r>
        <w:rPr>
          <w:rFonts w:hint="eastAsia"/>
          <w:lang w:eastAsia="zh-CN"/>
        </w:rPr>
        <w:t>GBON台</w:t>
      </w:r>
      <w:r>
        <w:rPr>
          <w:rFonts w:hint="eastAsia" w:ascii="宋体" w:hAnsi="宋体" w:eastAsia="宋体"/>
          <w:lang w:eastAsia="zh-CN"/>
        </w:rPr>
        <w:t>站</w:t>
      </w:r>
      <w:r>
        <w:rPr>
          <w:rFonts w:hint="eastAsia" w:ascii="宋体" w:hAnsi="宋体" w:eastAsia="宋体" w:cs="微软雅黑"/>
          <w:lang w:eastAsia="zh-CN"/>
        </w:rPr>
        <w:t>列表中删除</w:t>
      </w:r>
      <w:r>
        <w:rPr>
          <w:rFonts w:hint="eastAsia" w:eastAsia="宋体"/>
          <w:lang w:val="en-US" w:eastAsia="zh-CN"/>
        </w:rPr>
        <w:t>：OSCAR/地表NFP只是必须注明台站与GBON的从属关系在</w:t>
      </w:r>
      <w:r>
        <w:fldChar w:fldCharType="begin"/>
      </w:r>
      <w:r>
        <w:instrText xml:space="preserve"> HYPERLINK "https://oscar.wmo.int/surface/" \l "/" </w:instrText>
      </w:r>
      <w:r>
        <w:fldChar w:fldCharType="separate"/>
      </w:r>
      <w:r>
        <w:rPr>
          <w:rStyle w:val="43"/>
          <w:rFonts w:hint="eastAsia" w:eastAsia="宋体"/>
          <w:lang w:val="en-US" w:eastAsia="zh-CN"/>
        </w:rPr>
        <w:t>OSCAR/地表</w:t>
      </w:r>
      <w:r>
        <w:rPr>
          <w:rStyle w:val="43"/>
          <w:rFonts w:hint="eastAsia" w:eastAsia="宋体"/>
          <w:lang w:val="en-US" w:eastAsia="zh-CN"/>
        </w:rPr>
        <w:fldChar w:fldCharType="end"/>
      </w:r>
      <w:r>
        <w:rPr>
          <w:rFonts w:hint="eastAsia" w:eastAsia="宋体"/>
          <w:lang w:val="en-US" w:eastAsia="zh-CN"/>
        </w:rPr>
        <w:t>中停止的日期。从GBON台站列表中删除特定台站也需获得INFCOM批准。</w:t>
      </w:r>
    </w:p>
    <w:p>
      <w:pPr>
        <w:pStyle w:val="2"/>
        <w:rPr>
          <w:lang w:eastAsia="zh-CN"/>
        </w:rPr>
      </w:pPr>
      <w:r>
        <w:rPr>
          <w:lang w:eastAsia="zh-CN"/>
        </w:rPr>
        <w:br w:type="page"/>
      </w:r>
    </w:p>
    <w:p>
      <w:pPr>
        <w:pStyle w:val="2"/>
        <w:keepNext/>
        <w:keepLines/>
        <w:spacing w:after="560" w:line="280" w:lineRule="exact"/>
        <w:outlineLvl w:val="1"/>
        <w:rPr>
          <w:rFonts w:eastAsia="Verdana" w:cs="Verdana"/>
          <w:b/>
          <w:bCs/>
          <w:sz w:val="24"/>
          <w:szCs w:val="28"/>
          <w:lang w:eastAsia="zh-CN"/>
        </w:rPr>
      </w:pPr>
      <w:r>
        <w:rPr>
          <w:rFonts w:eastAsia="Verdana" w:cs="Verdana"/>
          <w:b/>
          <w:bCs/>
          <w:sz w:val="24"/>
          <w:szCs w:val="28"/>
          <w:lang w:eastAsia="zh-CN"/>
        </w:rPr>
        <w:t xml:space="preserve">4. </w:t>
      </w:r>
      <w:r>
        <w:rPr>
          <w:rFonts w:eastAsia="Verdana" w:cs="Verdana"/>
          <w:b/>
          <w:bCs/>
          <w:sz w:val="24"/>
          <w:szCs w:val="28"/>
          <w:lang w:eastAsia="zh-CN"/>
        </w:rPr>
        <w:tab/>
      </w:r>
      <w:r>
        <w:rPr>
          <w:rFonts w:eastAsia="Verdana" w:cs="Verdana"/>
          <w:b/>
          <w:bCs/>
          <w:sz w:val="24"/>
          <w:szCs w:val="28"/>
          <w:lang w:eastAsia="zh-CN"/>
        </w:rPr>
        <w:t>GBON</w:t>
      </w:r>
      <w:r>
        <w:rPr>
          <w:rFonts w:hint="eastAsia" w:ascii="微软雅黑" w:hAnsi="微软雅黑" w:eastAsia="微软雅黑" w:cs="微软雅黑"/>
          <w:b/>
          <w:bCs/>
          <w:sz w:val="24"/>
          <w:szCs w:val="28"/>
          <w:lang w:eastAsia="zh-CN"/>
        </w:rPr>
        <w:t>合规</w:t>
      </w:r>
    </w:p>
    <w:p>
      <w:pPr>
        <w:pStyle w:val="2"/>
        <w:keepNext/>
        <w:keepLines/>
        <w:rPr>
          <w:lang w:eastAsia="zh-CN"/>
        </w:rPr>
      </w:pPr>
      <w:r>
        <w:rPr>
          <w:rFonts w:hint="eastAsia"/>
          <w:lang w:eastAsia="zh-CN"/>
        </w:rPr>
        <w:t>GBON</w:t>
      </w:r>
      <w:r>
        <w:rPr>
          <w:rFonts w:hint="eastAsia" w:ascii="宋体" w:hAnsi="宋体" w:eastAsia="宋体" w:cs="宋体"/>
          <w:lang w:eastAsia="zh-CN"/>
        </w:rPr>
        <w:t>合规有两层含义：</w:t>
      </w:r>
      <w:r>
        <w:rPr>
          <w:rFonts w:hint="eastAsia"/>
          <w:lang w:eastAsia="zh-CN"/>
        </w:rPr>
        <w:t>(a)</w:t>
      </w:r>
      <w:r>
        <w:rPr>
          <w:rFonts w:hint="eastAsia" w:ascii="宋体" w:hAnsi="宋体" w:eastAsia="宋体" w:cs="宋体"/>
          <w:lang w:eastAsia="zh-CN"/>
        </w:rPr>
        <w:t>台站级合规，以及</w:t>
      </w:r>
      <w:r>
        <w:rPr>
          <w:rFonts w:hint="eastAsia"/>
          <w:lang w:eastAsia="zh-CN"/>
        </w:rPr>
        <w:t>(b)</w:t>
      </w:r>
      <w:r>
        <w:rPr>
          <w:rFonts w:hint="eastAsia" w:ascii="宋体" w:hAnsi="宋体" w:eastAsia="宋体" w:cs="宋体"/>
          <w:lang w:eastAsia="zh-CN"/>
        </w:rPr>
        <w:t>会员级合规。</w:t>
      </w:r>
    </w:p>
    <w:p>
      <w:pPr>
        <w:pStyle w:val="2"/>
        <w:numPr>
          <w:ilvl w:val="0"/>
          <w:numId w:val="2"/>
        </w:numPr>
        <w:ind w:left="567" w:hanging="567"/>
        <w:rPr>
          <w:rFonts w:ascii="宋体" w:hAnsi="宋体" w:eastAsia="宋体" w:cs="宋体"/>
        </w:rPr>
      </w:pPr>
      <w:r>
        <w:rPr>
          <w:rFonts w:hint="eastAsia" w:ascii="宋体" w:hAnsi="宋体" w:eastAsia="宋体" w:cs="宋体"/>
        </w:rPr>
        <w:t>台站级合规</w:t>
      </w:r>
    </w:p>
    <w:p>
      <w:pPr>
        <w:pStyle w:val="2"/>
        <w:rPr>
          <w:rFonts w:ascii="宋体" w:hAnsi="宋体" w:eastAsia="宋体" w:cs="宋体"/>
          <w:lang w:eastAsia="zh-CN"/>
        </w:rPr>
      </w:pPr>
      <w:r>
        <w:rPr>
          <w:rFonts w:hint="eastAsia" w:ascii="宋体" w:hAnsi="宋体" w:eastAsia="宋体" w:cs="宋体"/>
          <w:lang w:eastAsia="zh-CN"/>
        </w:rPr>
        <w:t>当特定台站以所需的时间频率和报告质量报告所需的测量结果时，即实现台站级合规。</w:t>
      </w:r>
    </w:p>
    <w:p>
      <w:pPr>
        <w:pStyle w:val="2"/>
        <w:numPr>
          <w:ilvl w:val="0"/>
          <w:numId w:val="2"/>
        </w:numPr>
        <w:ind w:left="567" w:hanging="567"/>
      </w:pPr>
      <w:r>
        <w:rPr>
          <w:rFonts w:hint="eastAsia" w:ascii="宋体" w:hAnsi="宋体" w:eastAsia="宋体" w:cs="宋体"/>
        </w:rPr>
        <w:t>会员级合规</w:t>
      </w:r>
    </w:p>
    <w:p>
      <w:pPr>
        <w:pStyle w:val="2"/>
        <w:rPr>
          <w:rFonts w:ascii="宋体" w:hAnsi="宋体" w:eastAsia="宋体" w:cs="宋体"/>
          <w:lang w:eastAsia="zh-CN"/>
        </w:rPr>
      </w:pPr>
      <w:r>
        <w:rPr>
          <w:rFonts w:hint="eastAsia" w:ascii="宋体" w:hAnsi="宋体" w:eastAsia="宋体" w:cs="宋体"/>
          <w:lang w:eastAsia="zh-CN"/>
        </w:rPr>
        <w:t>当特定会员运行足够数量的合规</w:t>
      </w:r>
      <w:r>
        <w:rPr>
          <w:rFonts w:hint="eastAsia"/>
          <w:lang w:eastAsia="zh-CN"/>
        </w:rPr>
        <w:t>GBON</w:t>
      </w:r>
      <w:r>
        <w:rPr>
          <w:rFonts w:hint="eastAsia" w:ascii="宋体" w:hAnsi="宋体" w:eastAsia="宋体" w:cs="宋体"/>
          <w:lang w:eastAsia="zh-CN"/>
        </w:rPr>
        <w:t>台站，满足水平密度要求时，即实现会员级合规。</w:t>
      </w:r>
    </w:p>
    <w:p>
      <w:pPr>
        <w:spacing w:after="240" w:line="240" w:lineRule="exact"/>
        <w:jc w:val="both"/>
        <w:rPr>
          <w:rFonts w:eastAsia="Verdana"/>
        </w:rPr>
      </w:pPr>
      <w:bookmarkStart w:id="11" w:name="_Hlk121562637"/>
      <w:r>
        <w:rPr>
          <w:rFonts w:hint="eastAsia" w:ascii="宋体" w:hAnsi="宋体" w:eastAsia="宋体" w:cs="宋体"/>
        </w:rPr>
        <w:t>所有</w:t>
      </w:r>
      <w:r>
        <w:rPr>
          <w:rFonts w:hint="eastAsia" w:eastAsia="Verdana"/>
        </w:rPr>
        <w:t>GBON</w:t>
      </w:r>
      <w:r>
        <w:rPr>
          <w:rFonts w:hint="eastAsia" w:ascii="宋体" w:hAnsi="宋体" w:eastAsia="宋体" w:cs="宋体"/>
        </w:rPr>
        <w:t>台站必须在</w:t>
      </w:r>
      <w:r>
        <w:rPr>
          <w:rFonts w:hint="eastAsia" w:eastAsia="宋体"/>
          <w:lang w:val="en-US" w:eastAsia="zh-CN"/>
        </w:rPr>
        <w:fldChar w:fldCharType="begin"/>
      </w:r>
      <w:r>
        <w:rPr>
          <w:rFonts w:hint="eastAsia" w:eastAsia="宋体"/>
          <w:lang w:val="en-US" w:eastAsia="zh-CN"/>
        </w:rPr>
        <w:instrText xml:space="preserve"> HYPERLINK "https://oscar.wmo.int/surface/" \l "/" </w:instrText>
      </w:r>
      <w:r>
        <w:rPr>
          <w:rFonts w:hint="eastAsia" w:eastAsia="宋体"/>
          <w:lang w:val="en-US" w:eastAsia="zh-CN"/>
        </w:rPr>
        <w:fldChar w:fldCharType="separate"/>
      </w:r>
      <w:r>
        <w:rPr>
          <w:rStyle w:val="43"/>
          <w:rFonts w:hint="eastAsia" w:eastAsia="宋体"/>
          <w:lang w:val="en-US" w:eastAsia="zh-CN"/>
        </w:rPr>
        <w:t>OSCAR/地表</w:t>
      </w:r>
      <w:r>
        <w:rPr>
          <w:rFonts w:hint="eastAsia" w:eastAsia="宋体"/>
          <w:lang w:val="en-US" w:eastAsia="zh-CN"/>
        </w:rPr>
        <w:fldChar w:fldCharType="end"/>
      </w:r>
      <w:r>
        <w:rPr>
          <w:rFonts w:hint="eastAsia" w:ascii="宋体" w:hAnsi="宋体" w:eastAsia="宋体" w:cs="宋体"/>
        </w:rPr>
        <w:t>中注册，并注明其与</w:t>
      </w:r>
      <w:r>
        <w:rPr>
          <w:rFonts w:hint="eastAsia" w:eastAsia="Verdana"/>
        </w:rPr>
        <w:t>GBON</w:t>
      </w:r>
      <w:r>
        <w:rPr>
          <w:rFonts w:hint="eastAsia" w:ascii="宋体" w:hAnsi="宋体" w:eastAsia="宋体" w:cs="宋体"/>
        </w:rPr>
        <w:t>的从属关系。</w:t>
      </w:r>
    </w:p>
    <w:p>
      <w:pPr>
        <w:pStyle w:val="6"/>
        <w:spacing w:before="480" w:after="200" w:line="276" w:lineRule="auto"/>
        <w:rPr>
          <w:rFonts w:ascii="微软雅黑" w:hAnsi="微软雅黑" w:eastAsia="微软雅黑" w:cs="微软雅黑"/>
          <w:lang w:eastAsia="zh-CN"/>
        </w:rPr>
      </w:pPr>
      <w:r>
        <w:rPr>
          <w:rFonts w:cstheme="minorHAnsi"/>
          <w:lang w:eastAsia="zh-CN"/>
        </w:rPr>
        <w:t>4.1</w:t>
      </w:r>
      <w:r>
        <w:rPr>
          <w:rFonts w:cstheme="minorHAnsi"/>
          <w:lang w:eastAsia="zh-CN"/>
        </w:rPr>
        <w:tab/>
      </w:r>
      <w:r>
        <w:rPr>
          <w:rFonts w:hint="eastAsia" w:ascii="微软雅黑" w:hAnsi="微软雅黑" w:eastAsia="微软雅黑" w:cs="微软雅黑"/>
          <w:lang w:eastAsia="zh-CN"/>
        </w:rPr>
        <w:t>一般考虑</w:t>
      </w:r>
    </w:p>
    <w:p>
      <w:pPr>
        <w:spacing w:after="240" w:line="240" w:lineRule="exact"/>
        <w:rPr>
          <w:rFonts w:ascii="微软雅黑" w:hAnsi="微软雅黑" w:eastAsia="微软雅黑" w:cs="微软雅黑"/>
          <w:b/>
          <w:bCs/>
          <w:color w:val="000000"/>
          <w:lang w:eastAsia="zh-CN"/>
        </w:rPr>
      </w:pPr>
      <w:r>
        <w:rPr>
          <w:rFonts w:cstheme="minorHAnsi"/>
          <w:b/>
          <w:bCs/>
          <w:color w:val="000000"/>
          <w:lang w:eastAsia="zh-CN"/>
        </w:rPr>
        <w:t xml:space="preserve">4.1.1 </w:t>
      </w:r>
      <w:r>
        <w:rPr>
          <w:rFonts w:cstheme="minorHAnsi"/>
          <w:b/>
          <w:bCs/>
          <w:color w:val="000000"/>
          <w:lang w:eastAsia="zh-CN"/>
        </w:rPr>
        <w:tab/>
      </w:r>
      <w:r>
        <w:rPr>
          <w:rFonts w:hint="eastAsia" w:ascii="微软雅黑" w:hAnsi="微软雅黑" w:eastAsia="微软雅黑" w:cs="微软雅黑"/>
          <w:b/>
          <w:bCs/>
          <w:color w:val="000000"/>
          <w:lang w:eastAsia="zh-CN"/>
        </w:rPr>
        <w:t>网络密度/覆盖度</w:t>
      </w:r>
    </w:p>
    <w:p>
      <w:pPr>
        <w:pStyle w:val="318"/>
        <w:spacing w:after="240" w:line="240" w:lineRule="exact"/>
        <w:ind w:left="0"/>
        <w:jc w:val="both"/>
        <w:rPr>
          <w:rFonts w:ascii="宋体" w:hAnsi="宋体" w:cs="宋体"/>
          <w:color w:val="000000"/>
          <w:sz w:val="20"/>
          <w:szCs w:val="20"/>
          <w:lang w:val="en-US" w:eastAsia="zh-CN"/>
        </w:rPr>
      </w:pPr>
      <w:r>
        <w:rPr>
          <w:rFonts w:hint="eastAsia" w:ascii="宋体" w:hAnsi="宋体" w:cs="宋体"/>
          <w:color w:val="000000" w:themeColor="text1"/>
          <w:sz w:val="20"/>
          <w:szCs w:val="20"/>
          <w:lang w:val="en-GB" w:eastAsia="zh-CN"/>
          <w14:textFill>
            <w14:solidFill>
              <w14:schemeClr w14:val="tx1"/>
            </w14:solidFill>
          </w14:textFill>
        </w:rPr>
        <w:t>指定的台站会被纳入一个网络，实现所需的密度</w:t>
      </w:r>
      <w:r>
        <w:rPr>
          <w:rFonts w:ascii="宋体" w:hAnsi="宋体" w:cs="宋体"/>
          <w:color w:val="000000" w:themeColor="text1"/>
          <w:sz w:val="20"/>
          <w:szCs w:val="20"/>
          <w:lang w:val="en-GB" w:eastAsia="zh-CN"/>
          <w14:textFill>
            <w14:solidFill>
              <w14:schemeClr w14:val="tx1"/>
            </w14:solidFill>
          </w14:textFill>
        </w:rPr>
        <w:t>/水平覆盖</w:t>
      </w:r>
      <w:r>
        <w:rPr>
          <w:rFonts w:hint="eastAsia" w:ascii="宋体" w:hAnsi="宋体" w:cs="宋体"/>
          <w:color w:val="000000" w:themeColor="text1"/>
          <w:sz w:val="20"/>
          <w:szCs w:val="20"/>
          <w:lang w:val="en-GB" w:eastAsia="zh-CN"/>
          <w14:textFill>
            <w14:solidFill>
              <w14:schemeClr w14:val="tx1"/>
            </w14:solidFill>
          </w14:textFill>
        </w:rPr>
        <w:t>。</w:t>
      </w:r>
      <w:r>
        <w:rPr>
          <w:rFonts w:hint="eastAsia" w:ascii="宋体" w:hAnsi="宋体" w:cs="宋体"/>
          <w:sz w:val="20"/>
          <w:szCs w:val="20"/>
          <w:lang w:val="en-GB" w:eastAsia="zh-CN"/>
        </w:rPr>
        <w:t>通过定期监测台站报告来评估密度/水平覆盖的合规性十分复杂，因此，可以为每个国家/地区分配一些台站，其中可能包括一些冗余，然后评估合规台站的数量是否等于/大于预期的数量。</w:t>
      </w:r>
    </w:p>
    <w:p>
      <w:pPr>
        <w:spacing w:after="240" w:line="240" w:lineRule="exact"/>
        <w:rPr>
          <w:rFonts w:ascii="微软雅黑" w:hAnsi="微软雅黑" w:eastAsia="微软雅黑" w:cs="微软雅黑"/>
          <w:b/>
          <w:bCs/>
          <w:color w:val="000000"/>
          <w:lang w:eastAsia="zh-CN"/>
        </w:rPr>
      </w:pPr>
      <w:r>
        <w:rPr>
          <w:b/>
          <w:bCs/>
          <w:lang w:eastAsia="zh-CN"/>
        </w:rPr>
        <w:t>4.1.2</w:t>
      </w:r>
      <w:r>
        <w:rPr>
          <w:b/>
          <w:bCs/>
          <w:lang w:eastAsia="zh-CN"/>
        </w:rPr>
        <w:tab/>
      </w:r>
      <w:r>
        <w:rPr>
          <w:rFonts w:hint="eastAsia" w:ascii="微软雅黑" w:hAnsi="微软雅黑" w:eastAsia="微软雅黑" w:cs="微软雅黑"/>
          <w:b/>
          <w:bCs/>
          <w:lang w:eastAsia="zh-CN"/>
        </w:rPr>
        <w:t>可用性</w:t>
      </w:r>
    </w:p>
    <w:p>
      <w:pPr>
        <w:spacing w:after="240" w:line="240" w:lineRule="exact"/>
        <w:rPr>
          <w:rFonts w:ascii="宋体" w:hAnsi="宋体" w:eastAsia="宋体" w:cs="宋体"/>
          <w:lang w:eastAsia="zh-CN"/>
        </w:rPr>
      </w:pPr>
      <w:r>
        <w:rPr>
          <w:rFonts w:hint="eastAsia" w:ascii="宋体" w:hAnsi="宋体" w:eastAsia="宋体" w:cs="宋体"/>
          <w:lang w:eastAsia="zh-CN"/>
        </w:rPr>
        <w:t>目前，主要根据数据可用性这一业绩指标，并采用以下普遍接受的做法，来评估</w:t>
      </w:r>
      <w:r>
        <w:rPr>
          <w:rFonts w:hint="eastAsia"/>
          <w:lang w:eastAsia="zh-CN"/>
        </w:rPr>
        <w:t>WMO</w:t>
      </w:r>
      <w:r>
        <w:rPr>
          <w:rFonts w:hint="eastAsia" w:ascii="宋体" w:hAnsi="宋体" w:eastAsia="宋体" w:cs="宋体"/>
          <w:lang w:eastAsia="zh-CN"/>
        </w:rPr>
        <w:t>观测的合规性。</w:t>
      </w:r>
    </w:p>
    <w:p>
      <w:pPr>
        <w:pStyle w:val="318"/>
        <w:numPr>
          <w:ilvl w:val="0"/>
          <w:numId w:val="3"/>
        </w:numPr>
        <w:spacing w:after="240" w:line="240" w:lineRule="exact"/>
        <w:ind w:left="567" w:hanging="567"/>
        <w:jc w:val="both"/>
        <w:rPr>
          <w:rFonts w:ascii="宋体" w:hAnsi="宋体" w:cs="宋体"/>
          <w:color w:val="000000"/>
          <w:sz w:val="20"/>
          <w:szCs w:val="20"/>
          <w:lang w:val="en-GB" w:eastAsia="zh-CN"/>
        </w:rPr>
      </w:pPr>
      <w:r>
        <w:rPr>
          <w:rFonts w:hint="eastAsia" w:ascii="宋体" w:hAnsi="宋体" w:cs="宋体"/>
          <w:color w:val="000000"/>
          <w:sz w:val="20"/>
          <w:szCs w:val="20"/>
          <w:lang w:val="en-GB" w:eastAsia="zh-CN"/>
        </w:rPr>
        <w:t>大多数</w:t>
      </w:r>
      <w:r>
        <w:rPr>
          <w:rFonts w:ascii="Verdana" w:hAnsi="Verdana" w:cs="Verdana"/>
          <w:color w:val="000000"/>
          <w:sz w:val="20"/>
          <w:szCs w:val="20"/>
          <w:lang w:val="en-GB" w:eastAsia="zh-CN"/>
        </w:rPr>
        <w:t>WMO</w:t>
      </w:r>
      <w:r>
        <w:rPr>
          <w:rFonts w:hint="eastAsia" w:ascii="宋体" w:hAnsi="宋体" w:cs="宋体"/>
          <w:color w:val="000000"/>
          <w:sz w:val="20"/>
          <w:szCs w:val="20"/>
          <w:lang w:val="en-GB" w:eastAsia="zh-CN"/>
        </w:rPr>
        <w:t>网络由向国际数据中心（即，收到报告而非进行观测)报告的台站监测</w:t>
      </w:r>
    </w:p>
    <w:p>
      <w:pPr>
        <w:pStyle w:val="318"/>
        <w:numPr>
          <w:ilvl w:val="0"/>
          <w:numId w:val="3"/>
        </w:numPr>
        <w:spacing w:after="240" w:line="240" w:lineRule="exact"/>
        <w:ind w:left="567" w:hanging="567"/>
        <w:jc w:val="both"/>
        <w:rPr>
          <w:rFonts w:ascii="宋体" w:hAnsi="宋体" w:cs="宋体"/>
          <w:color w:val="000000"/>
          <w:sz w:val="20"/>
          <w:szCs w:val="20"/>
          <w:lang w:val="en-GB" w:eastAsia="zh-CN"/>
        </w:rPr>
      </w:pPr>
      <w:r>
        <w:rPr>
          <w:rFonts w:hint="eastAsia" w:ascii="宋体" w:hAnsi="宋体" w:cs="宋体"/>
          <w:color w:val="000000"/>
          <w:sz w:val="20"/>
          <w:szCs w:val="20"/>
          <w:lang w:val="en-GB" w:eastAsia="zh-CN"/>
        </w:rPr>
        <w:t>每日/每周/每月的合规监测往往针对该时间段内的报告总数，而不是具体针对时间要求</w:t>
      </w:r>
    </w:p>
    <w:p>
      <w:pPr>
        <w:pStyle w:val="318"/>
        <w:numPr>
          <w:ilvl w:val="0"/>
          <w:numId w:val="3"/>
        </w:numPr>
        <w:spacing w:after="240" w:line="240" w:lineRule="exact"/>
        <w:ind w:left="567" w:hanging="567"/>
        <w:jc w:val="both"/>
        <w:rPr>
          <w:rFonts w:ascii="宋体" w:hAnsi="宋体" w:cs="宋体"/>
          <w:color w:val="000000"/>
          <w:sz w:val="20"/>
          <w:szCs w:val="20"/>
          <w:lang w:val="en-GB" w:eastAsia="zh-CN"/>
        </w:rPr>
      </w:pPr>
      <w:r>
        <w:rPr>
          <w:rFonts w:hint="eastAsia" w:ascii="宋体" w:hAnsi="宋体" w:cs="宋体"/>
          <w:color w:val="333333"/>
          <w:sz w:val="20"/>
          <w:szCs w:val="20"/>
          <w:shd w:val="clear" w:color="auto" w:fill="FFFFFF"/>
          <w:lang w:eastAsia="zh-CN"/>
        </w:rPr>
        <w:t>大多数监测只评估是否收到报告，而不是评估报告的内容</w:t>
      </w:r>
    </w:p>
    <w:p>
      <w:pPr>
        <w:pStyle w:val="318"/>
        <w:numPr>
          <w:ilvl w:val="0"/>
          <w:numId w:val="3"/>
        </w:numPr>
        <w:spacing w:after="240" w:line="240" w:lineRule="exact"/>
        <w:ind w:left="567" w:hanging="567"/>
        <w:jc w:val="both"/>
        <w:rPr>
          <w:rFonts w:ascii="宋体" w:hAnsi="宋体" w:cs="宋体"/>
          <w:color w:val="000000"/>
          <w:sz w:val="20"/>
          <w:szCs w:val="20"/>
          <w:lang w:val="en-GB" w:eastAsia="zh-CN"/>
        </w:rPr>
      </w:pPr>
      <w:r>
        <w:rPr>
          <w:rFonts w:ascii="Verdana" w:hAnsi="Verdana" w:cs="Verdana"/>
          <w:color w:val="000000"/>
          <w:sz w:val="20"/>
          <w:szCs w:val="20"/>
          <w:lang w:val="en-GB" w:eastAsia="zh-CN"/>
        </w:rPr>
        <w:t>WDQMS</w:t>
      </w:r>
      <w:r>
        <w:rPr>
          <w:rFonts w:hint="eastAsia" w:ascii="宋体" w:hAnsi="宋体" w:cs="宋体"/>
          <w:color w:val="000000"/>
          <w:sz w:val="20"/>
          <w:szCs w:val="20"/>
          <w:lang w:val="en-GB" w:eastAsia="zh-CN"/>
        </w:rPr>
        <w:t>网络工具使用</w:t>
      </w:r>
      <w:r>
        <w:rPr>
          <w:rFonts w:ascii="Verdana" w:hAnsi="Verdana" w:cs="Verdana"/>
          <w:color w:val="000000"/>
          <w:sz w:val="20"/>
          <w:szCs w:val="20"/>
          <w:lang w:val="en-GB" w:eastAsia="zh-CN"/>
        </w:rPr>
        <w:t>WIGOS</w:t>
      </w:r>
      <w:r>
        <w:rPr>
          <w:rFonts w:hint="eastAsia" w:ascii="宋体" w:hAnsi="宋体" w:cs="宋体"/>
          <w:color w:val="000000"/>
          <w:sz w:val="20"/>
          <w:szCs w:val="20"/>
          <w:lang w:val="en-GB" w:eastAsia="zh-CN"/>
        </w:rPr>
        <w:t>监测中心（全球</w:t>
      </w:r>
      <w:r>
        <w:rPr>
          <w:rFonts w:ascii="Verdana" w:hAnsi="Verdana" w:cs="Verdana"/>
          <w:color w:val="000000"/>
          <w:sz w:val="20"/>
          <w:szCs w:val="20"/>
          <w:lang w:val="en-GB" w:eastAsia="zh-CN"/>
        </w:rPr>
        <w:t>NWP</w:t>
      </w:r>
      <w:r>
        <w:rPr>
          <w:rFonts w:hint="eastAsia" w:ascii="宋体" w:hAnsi="宋体" w:cs="宋体"/>
          <w:color w:val="000000"/>
          <w:sz w:val="20"/>
          <w:szCs w:val="20"/>
          <w:lang w:val="en-GB" w:eastAsia="zh-CN"/>
        </w:rPr>
        <w:t>中心）生成的统计数据，因此能够根据报告中的不同变量进行评估</w:t>
      </w:r>
    </w:p>
    <w:p>
      <w:pPr>
        <w:pStyle w:val="318"/>
        <w:numPr>
          <w:ilvl w:val="0"/>
          <w:numId w:val="3"/>
        </w:numPr>
        <w:spacing w:after="240" w:line="240" w:lineRule="exact"/>
        <w:ind w:left="567" w:hanging="567"/>
        <w:jc w:val="both"/>
        <w:rPr>
          <w:rFonts w:ascii="宋体" w:hAnsi="宋体" w:cs="宋体"/>
          <w:color w:val="000000"/>
          <w:sz w:val="20"/>
          <w:szCs w:val="20"/>
          <w:lang w:val="en-GB" w:eastAsia="zh-CN"/>
        </w:rPr>
      </w:pPr>
      <w:r>
        <w:rPr>
          <w:rFonts w:hint="eastAsia" w:ascii="宋体" w:hAnsi="宋体" w:cs="宋体"/>
          <w:color w:val="000000"/>
          <w:sz w:val="20"/>
          <w:szCs w:val="20"/>
          <w:lang w:val="en-GB" w:eastAsia="zh-CN"/>
        </w:rPr>
        <w:t>并非所有台站都一定会报告</w:t>
      </w:r>
      <w:r>
        <w:rPr>
          <w:rFonts w:ascii="Verdana" w:hAnsi="Verdana" w:cs="Verdana"/>
          <w:color w:val="000000"/>
          <w:sz w:val="20"/>
          <w:szCs w:val="20"/>
          <w:lang w:val="en-GB" w:eastAsia="zh-CN"/>
        </w:rPr>
        <w:t>GBON</w:t>
      </w:r>
      <w:r>
        <w:rPr>
          <w:rFonts w:hint="eastAsia" w:ascii="宋体" w:hAnsi="宋体" w:cs="宋体"/>
          <w:color w:val="000000"/>
          <w:sz w:val="20"/>
          <w:szCs w:val="20"/>
          <w:lang w:val="en-GB" w:eastAsia="zh-CN"/>
        </w:rPr>
        <w:t>要求提供的所有变量</w:t>
      </w:r>
    </w:p>
    <w:p>
      <w:pPr>
        <w:pStyle w:val="318"/>
        <w:spacing w:after="240" w:line="240" w:lineRule="exact"/>
        <w:ind w:left="0"/>
        <w:jc w:val="both"/>
        <w:rPr>
          <w:rFonts w:ascii="宋体" w:hAnsi="宋体" w:cs="宋体"/>
          <w:color w:val="000000"/>
          <w:sz w:val="20"/>
          <w:szCs w:val="20"/>
          <w:lang w:val="en-GB" w:eastAsia="zh-CN"/>
        </w:rPr>
      </w:pPr>
      <w:r>
        <w:rPr>
          <w:rFonts w:hint="eastAsia" w:ascii="Verdana" w:hAnsi="Verdana"/>
          <w:color w:val="000000"/>
          <w:sz w:val="20"/>
          <w:szCs w:val="20"/>
          <w:lang w:val="en-GB" w:eastAsia="zh-CN"/>
        </w:rPr>
        <w:t>GBON</w:t>
      </w:r>
      <w:r>
        <w:rPr>
          <w:rFonts w:hint="eastAsia" w:ascii="宋体" w:hAnsi="宋体" w:cs="宋体"/>
          <w:color w:val="000000"/>
          <w:sz w:val="20"/>
          <w:szCs w:val="20"/>
          <w:lang w:val="en-GB" w:eastAsia="zh-CN"/>
        </w:rPr>
        <w:t>高空要求还包括垂直距离标准（球炸高度和分辨率），但在可用性统计中并非总能被评估。</w:t>
      </w:r>
    </w:p>
    <w:p>
      <w:pPr>
        <w:spacing w:after="240" w:line="240" w:lineRule="exact"/>
        <w:rPr>
          <w:rFonts w:ascii="微软雅黑" w:hAnsi="微软雅黑" w:eastAsia="微软雅黑" w:cs="微软雅黑"/>
          <w:b/>
          <w:bCs/>
          <w:color w:val="000000"/>
          <w:lang w:eastAsia="zh-CN"/>
        </w:rPr>
      </w:pPr>
      <w:r>
        <w:rPr>
          <w:rFonts w:cstheme="minorHAnsi"/>
          <w:b/>
          <w:bCs/>
          <w:color w:val="000000"/>
          <w:lang w:eastAsia="zh-CN"/>
        </w:rPr>
        <w:t>4.1.3</w:t>
      </w:r>
      <w:r>
        <w:rPr>
          <w:rFonts w:cstheme="minorHAnsi"/>
          <w:b/>
          <w:bCs/>
          <w:color w:val="000000"/>
          <w:lang w:eastAsia="zh-CN"/>
        </w:rPr>
        <w:tab/>
      </w:r>
      <w:r>
        <w:rPr>
          <w:rFonts w:hint="eastAsia" w:ascii="微软雅黑" w:hAnsi="微软雅黑" w:eastAsia="微软雅黑" w:cs="微软雅黑"/>
          <w:b/>
          <w:bCs/>
          <w:color w:val="000000"/>
          <w:lang w:eastAsia="zh-CN"/>
        </w:rPr>
        <w:t>及时性</w:t>
      </w:r>
    </w:p>
    <w:p>
      <w:pPr>
        <w:pStyle w:val="318"/>
        <w:spacing w:after="240" w:line="240" w:lineRule="exact"/>
        <w:ind w:left="0"/>
        <w:jc w:val="both"/>
        <w:rPr>
          <w:rFonts w:ascii="Verdana" w:hAnsi="Verdana"/>
          <w:sz w:val="20"/>
          <w:szCs w:val="20"/>
          <w:lang w:val="en-GB" w:eastAsia="zh-CN"/>
        </w:rPr>
      </w:pPr>
      <w:r>
        <w:rPr>
          <w:rFonts w:hint="eastAsia" w:ascii="Verdana" w:hAnsi="Verdana"/>
          <w:sz w:val="20"/>
          <w:szCs w:val="20"/>
          <w:lang w:val="en-GB" w:eastAsia="zh-CN"/>
        </w:rPr>
        <w:t>所有报告必须通过WIS近实时地发送。例如，如果NWP中心在某个时间内没有收到数据，这些数据就不能再被使用。对于国家和一些区域活动（如EUMETNET）来说，及时性要求主要是为了匹配NWP同化运算，并在有效期内发送观测数据。</w:t>
      </w:r>
    </w:p>
    <w:p>
      <w:pPr>
        <w:pStyle w:val="318"/>
        <w:spacing w:after="240" w:line="240" w:lineRule="exact"/>
        <w:ind w:left="0"/>
        <w:jc w:val="both"/>
        <w:rPr>
          <w:rFonts w:ascii="Verdana" w:hAnsi="Verdana"/>
          <w:sz w:val="20"/>
          <w:szCs w:val="20"/>
          <w:lang w:val="en-GB" w:eastAsia="zh-CN"/>
        </w:rPr>
      </w:pPr>
      <w:r>
        <w:rPr>
          <w:rFonts w:hint="eastAsia" w:ascii="Verdana" w:hAnsi="Verdana"/>
          <w:sz w:val="20"/>
          <w:szCs w:val="20"/>
          <w:lang w:val="en-GB" w:eastAsia="zh-CN"/>
        </w:rPr>
        <w:t>WIS 2按计划会记录报告的“接收时间”，并将其与观测时间进行比较来判断及时性。一旦得到实施，将在未来升级WDQMS网络工具时考虑纳入及时性要求。</w:t>
      </w:r>
    </w:p>
    <w:p>
      <w:pPr>
        <w:pStyle w:val="318"/>
        <w:spacing w:after="240" w:line="240" w:lineRule="exact"/>
        <w:ind w:left="0"/>
        <w:jc w:val="both"/>
        <w:rPr>
          <w:rFonts w:ascii="Verdana" w:hAnsi="Verdana"/>
          <w:sz w:val="20"/>
          <w:szCs w:val="20"/>
          <w:lang w:val="en-GB" w:eastAsia="zh-CN"/>
        </w:rPr>
      </w:pPr>
      <w:r>
        <w:rPr>
          <w:rFonts w:hint="eastAsia" w:ascii="Verdana" w:hAnsi="Verdana"/>
          <w:sz w:val="20"/>
          <w:szCs w:val="20"/>
          <w:lang w:val="en-GB" w:eastAsia="zh-CN"/>
        </w:rPr>
        <w:t>不管数据的报告时间延迟了多久，这些数据仍对一些应用（即，再分析和气候监测）来说有效。但是，一些数据路由过程有固定的截止时间（即&gt;24小时），超过该截止时间的报告将被自动驳回。</w:t>
      </w:r>
    </w:p>
    <w:p>
      <w:pPr>
        <w:spacing w:after="240" w:line="240" w:lineRule="exact"/>
        <w:rPr>
          <w:rFonts w:ascii="微软雅黑" w:hAnsi="微软雅黑" w:eastAsia="微软雅黑" w:cs="微软雅黑"/>
          <w:b/>
          <w:bCs/>
          <w:color w:val="000000"/>
          <w:lang w:eastAsia="zh-CN"/>
        </w:rPr>
      </w:pPr>
      <w:r>
        <w:rPr>
          <w:rFonts w:cstheme="minorHAnsi"/>
          <w:b/>
          <w:bCs/>
          <w:color w:val="000000"/>
          <w:lang w:eastAsia="zh-CN"/>
        </w:rPr>
        <w:t>4.1.4</w:t>
      </w:r>
      <w:r>
        <w:rPr>
          <w:rFonts w:cstheme="minorHAnsi"/>
          <w:b/>
          <w:bCs/>
          <w:color w:val="000000"/>
          <w:lang w:eastAsia="zh-CN"/>
        </w:rPr>
        <w:tab/>
      </w:r>
      <w:r>
        <w:rPr>
          <w:rFonts w:hint="eastAsia" w:ascii="微软雅黑" w:hAnsi="微软雅黑" w:eastAsia="微软雅黑" w:cs="微软雅黑"/>
          <w:b/>
          <w:bCs/>
          <w:color w:val="000000"/>
          <w:lang w:eastAsia="zh-CN"/>
        </w:rPr>
        <w:t>质量</w:t>
      </w:r>
    </w:p>
    <w:p>
      <w:pPr>
        <w:spacing w:after="240" w:line="240" w:lineRule="exact"/>
        <w:rPr>
          <w:rFonts w:ascii="宋体" w:hAnsi="宋体" w:eastAsia="宋体" w:cs="宋体"/>
          <w:lang w:eastAsia="zh-CN"/>
        </w:rPr>
      </w:pPr>
      <w:r>
        <w:rPr>
          <w:rFonts w:hint="eastAsia" w:ascii="宋体" w:hAnsi="宋体" w:eastAsia="宋体" w:cs="宋体"/>
          <w:lang w:eastAsia="zh-CN"/>
        </w:rPr>
        <w:t>如果报告的数据质量不达标，将被</w:t>
      </w:r>
      <w:r>
        <w:rPr>
          <w:rFonts w:hint="eastAsia"/>
          <w:lang w:eastAsia="zh-CN"/>
        </w:rPr>
        <w:t>NWP</w:t>
      </w:r>
      <w:r>
        <w:rPr>
          <w:rFonts w:hint="eastAsia" w:ascii="宋体" w:hAnsi="宋体" w:eastAsia="宋体" w:cs="宋体"/>
          <w:lang w:eastAsia="zh-CN"/>
        </w:rPr>
        <w:t>系统驳回。此外，如果</w:t>
      </w:r>
      <w:r>
        <w:fldChar w:fldCharType="begin"/>
      </w:r>
      <w:r>
        <w:instrText xml:space="preserve"> HYPERLINK "https://oscar.wmo.int/surface/" </w:instrText>
      </w:r>
      <w:r>
        <w:fldChar w:fldCharType="separate"/>
      </w:r>
      <w:r>
        <w:rPr>
          <w:rStyle w:val="43"/>
          <w:rFonts w:hint="eastAsia"/>
          <w:lang w:eastAsia="zh-CN"/>
        </w:rPr>
        <w:t>OSCAR/地表</w:t>
      </w:r>
      <w:r>
        <w:rPr>
          <w:rStyle w:val="43"/>
          <w:lang w:eastAsia="zh-CN"/>
        </w:rPr>
        <w:fldChar w:fldCharType="end"/>
      </w:r>
      <w:r>
        <w:rPr>
          <w:rFonts w:hint="eastAsia" w:ascii="宋体" w:hAnsi="宋体" w:eastAsia="宋体" w:cs="宋体"/>
          <w:lang w:eastAsia="zh-CN"/>
        </w:rPr>
        <w:t>数据库中未记录足够的元数据，也会直接影响</w:t>
      </w:r>
      <w:r>
        <w:rPr>
          <w:rFonts w:hint="eastAsia"/>
          <w:lang w:eastAsia="zh-CN"/>
        </w:rPr>
        <w:t>GBON</w:t>
      </w:r>
      <w:r>
        <w:rPr>
          <w:rFonts w:hint="eastAsia" w:ascii="宋体" w:hAnsi="宋体" w:eastAsia="宋体" w:cs="宋体"/>
          <w:lang w:eastAsia="zh-CN"/>
        </w:rPr>
        <w:t>的质量监测。</w:t>
      </w:r>
    </w:p>
    <w:p>
      <w:pPr>
        <w:spacing w:after="240" w:line="240" w:lineRule="exact"/>
        <w:rPr>
          <w:rFonts w:ascii="宋体" w:hAnsi="宋体" w:eastAsia="宋体" w:cs="宋体"/>
          <w:lang w:eastAsia="zh-CN"/>
        </w:rPr>
      </w:pPr>
      <w:r>
        <w:rPr>
          <w:rFonts w:hint="eastAsia" w:ascii="宋体" w:hAnsi="宋体" w:eastAsia="宋体" w:cs="宋体"/>
          <w:lang w:eastAsia="zh-CN"/>
        </w:rPr>
        <w:t>地面（陆地和海洋）和高空（陆地和海洋）台站的大多数报告都未介绍测量结果的质量。通常，已通过相互比较和测试活动对业务过程和仪器进行了评估，这意味着所使用的业务过程和仪器达到了一定质量。</w:t>
      </w:r>
    </w:p>
    <w:p>
      <w:pPr>
        <w:spacing w:after="240" w:line="240" w:lineRule="exact"/>
        <w:rPr>
          <w:rFonts w:ascii="宋体" w:hAnsi="宋体" w:eastAsia="宋体" w:cs="宋体"/>
          <w:color w:val="000000"/>
          <w:lang w:eastAsia="zh-CN"/>
        </w:rPr>
      </w:pPr>
      <w:r>
        <w:rPr>
          <w:rFonts w:hint="eastAsia" w:ascii="宋体" w:hAnsi="宋体" w:eastAsia="宋体" w:cs="宋体"/>
          <w:color w:val="000000"/>
          <w:lang w:eastAsia="zh-CN"/>
        </w:rPr>
        <w:t>对这些系统开展的大部分业务质量监测被视为质量评估过程的一部分，即对比测量值与背景场（即</w:t>
      </w:r>
      <w:r>
        <w:rPr>
          <w:rFonts w:eastAsia="宋体" w:cs="Verdana"/>
          <w:color w:val="000000"/>
          <w:lang w:eastAsia="zh-CN"/>
        </w:rPr>
        <w:t>NWP</w:t>
      </w:r>
      <w:r>
        <w:rPr>
          <w:rFonts w:hint="eastAsia" w:ascii="宋体" w:hAnsi="宋体" w:eastAsia="宋体" w:cs="宋体"/>
          <w:color w:val="000000"/>
          <w:lang w:eastAsia="zh-CN"/>
        </w:rPr>
        <w:t>模式），并计算</w:t>
      </w:r>
      <w:r>
        <w:rPr>
          <w:rFonts w:eastAsia="宋体" w:cs="Verdana"/>
          <w:color w:val="000000"/>
          <w:lang w:eastAsia="zh-CN"/>
        </w:rPr>
        <w:t>OB-FG</w:t>
      </w:r>
      <w:r>
        <w:rPr>
          <w:rFonts w:hint="eastAsia" w:ascii="宋体" w:hAnsi="宋体" w:eastAsia="宋体" w:cs="宋体"/>
          <w:color w:val="000000"/>
          <w:lang w:eastAsia="zh-CN"/>
        </w:rPr>
        <w:t>（观测-第一猜测场）或</w:t>
      </w:r>
      <w:r>
        <w:rPr>
          <w:rFonts w:eastAsia="宋体" w:cs="Verdana"/>
          <w:color w:val="000000"/>
          <w:lang w:eastAsia="zh-CN"/>
        </w:rPr>
        <w:t>OB-AN</w:t>
      </w:r>
      <w:r>
        <w:rPr>
          <w:rFonts w:hint="eastAsia" w:ascii="宋体" w:hAnsi="宋体" w:eastAsia="宋体" w:cs="宋体"/>
          <w:color w:val="000000"/>
          <w:lang w:eastAsia="zh-CN"/>
        </w:rPr>
        <w:t>（观测-分析）的统计数据。</w:t>
      </w:r>
    </w:p>
    <w:p>
      <w:pPr>
        <w:spacing w:after="240" w:line="240" w:lineRule="exact"/>
        <w:rPr>
          <w:rFonts w:ascii="宋体" w:hAnsi="宋体" w:eastAsia="宋体" w:cs="宋体"/>
          <w:lang w:eastAsia="zh-CN"/>
        </w:rPr>
      </w:pPr>
      <w:r>
        <w:rPr>
          <w:rFonts w:eastAsia="宋体" w:cs="Verdana"/>
          <w:lang w:eastAsia="zh-CN"/>
        </w:rPr>
        <w:t>NWP</w:t>
      </w:r>
      <w:r>
        <w:rPr>
          <w:rFonts w:hint="eastAsia" w:ascii="宋体" w:hAnsi="宋体" w:eastAsia="宋体" w:cs="宋体"/>
          <w:lang w:eastAsia="zh-CN"/>
        </w:rPr>
        <w:t>同化还有驳回数据的过程，以免重大误差对模式产品的质量产生负面影响。驳回的标准通常比</w:t>
      </w:r>
      <w:r>
        <w:rPr>
          <w:rFonts w:eastAsia="宋体" w:cs="Verdana"/>
          <w:lang w:eastAsia="zh-CN"/>
        </w:rPr>
        <w:t>WMO RRR</w:t>
      </w:r>
      <w:r>
        <w:rPr>
          <w:rFonts w:hint="eastAsia" w:ascii="宋体" w:hAnsi="宋体" w:eastAsia="宋体" w:cs="宋体"/>
          <w:lang w:eastAsia="zh-CN"/>
        </w:rPr>
        <w:t>中的“阈值”限制宽松得多，但有助于识别有重大误差的台站/平台。</w:t>
      </w:r>
    </w:p>
    <w:p>
      <w:pPr>
        <w:spacing w:after="240" w:line="240" w:lineRule="exact"/>
        <w:rPr>
          <w:rFonts w:eastAsia="宋体" w:cstheme="minorHAnsi"/>
          <w:b/>
          <w:bCs/>
          <w:color w:val="000000"/>
          <w:lang w:eastAsia="zh-CN"/>
        </w:rPr>
      </w:pPr>
      <w:r>
        <w:rPr>
          <w:rFonts w:cstheme="minorHAnsi"/>
          <w:b/>
          <w:bCs/>
          <w:color w:val="000000"/>
          <w:lang w:eastAsia="zh-CN"/>
        </w:rPr>
        <w:t>4.1.5</w:t>
      </w:r>
      <w:r>
        <w:rPr>
          <w:rFonts w:cstheme="minorHAnsi"/>
          <w:b/>
          <w:bCs/>
          <w:color w:val="000000"/>
          <w:lang w:eastAsia="zh-CN"/>
        </w:rPr>
        <w:tab/>
      </w:r>
      <w:r>
        <w:rPr>
          <w:rFonts w:hint="eastAsia" w:ascii="微软雅黑" w:hAnsi="微软雅黑" w:eastAsia="微软雅黑" w:cs="微软雅黑"/>
          <w:b/>
          <w:bCs/>
          <w:color w:val="000000"/>
          <w:lang w:val="en-US" w:eastAsia="zh-CN"/>
        </w:rPr>
        <w:t>格式</w:t>
      </w:r>
    </w:p>
    <w:p>
      <w:pPr>
        <w:spacing w:after="240" w:line="240" w:lineRule="exact"/>
        <w:jc w:val="both"/>
        <w:rPr>
          <w:rFonts w:ascii="宋体" w:hAnsi="宋体" w:eastAsia="宋体" w:cs="宋体"/>
          <w:b/>
          <w:bCs/>
          <w:lang w:eastAsia="zh-CN"/>
        </w:rPr>
      </w:pPr>
      <w:r>
        <w:rPr>
          <w:rFonts w:hint="eastAsia" w:ascii="宋体" w:hAnsi="宋体" w:eastAsia="宋体" w:cs="宋体"/>
          <w:lang w:eastAsia="zh-CN"/>
        </w:rPr>
        <w:t>根据</w:t>
      </w:r>
      <w:r>
        <w:rPr>
          <w:rFonts w:hint="eastAsia" w:ascii="宋体" w:hAnsi="宋体" w:eastAsia="宋体" w:cs="宋体"/>
        </w:rPr>
        <w:fldChar w:fldCharType="begin"/>
      </w:r>
      <w:r>
        <w:rPr>
          <w:rFonts w:hint="eastAsia" w:ascii="宋体" w:hAnsi="宋体" w:eastAsia="宋体" w:cs="宋体"/>
          <w:lang w:eastAsia="zh-CN"/>
        </w:rPr>
        <w:instrText xml:space="preserve"> HYPERLINK "https://library.wmo.int/doc_num.php?explnum_id=11151" </w:instrText>
      </w:r>
      <w:r>
        <w:rPr>
          <w:rFonts w:hint="eastAsia" w:ascii="宋体" w:hAnsi="宋体" w:eastAsia="宋体" w:cs="宋体"/>
        </w:rPr>
        <w:fldChar w:fldCharType="separate"/>
      </w:r>
      <w:r>
        <w:rPr>
          <w:rStyle w:val="43"/>
          <w:rFonts w:hint="eastAsia" w:ascii="宋体" w:hAnsi="宋体" w:eastAsia="宋体" w:cs="宋体"/>
          <w:lang w:eastAsia="zh-CN"/>
        </w:rPr>
        <w:t>《</w:t>
      </w:r>
      <w:r>
        <w:rPr>
          <w:rStyle w:val="43"/>
          <w:rFonts w:eastAsia="宋体" w:cs="Verdana"/>
          <w:lang w:eastAsia="zh-CN"/>
        </w:rPr>
        <w:t>WMO</w:t>
      </w:r>
      <w:r>
        <w:rPr>
          <w:rStyle w:val="43"/>
          <w:rFonts w:hint="eastAsia" w:ascii="宋体" w:hAnsi="宋体" w:eastAsia="宋体" w:cs="宋体"/>
          <w:lang w:eastAsia="zh-CN"/>
        </w:rPr>
        <w:t>全球综合观测系统手册》</w:t>
      </w:r>
      <w:r>
        <w:rPr>
          <w:rFonts w:hint="eastAsia" w:ascii="宋体" w:hAnsi="宋体" w:eastAsia="宋体" w:cs="宋体"/>
        </w:rPr>
        <w:fldChar w:fldCharType="end"/>
      </w:r>
      <w:r>
        <w:rPr>
          <w:rFonts w:hint="eastAsia" w:ascii="宋体" w:hAnsi="宋体" w:eastAsia="宋体" w:cs="宋体"/>
          <w:lang w:eastAsia="zh-CN"/>
        </w:rPr>
        <w:t>（</w:t>
      </w:r>
      <w:r>
        <w:rPr>
          <w:rFonts w:hint="eastAsia"/>
          <w:lang w:eastAsia="zh-CN"/>
        </w:rPr>
        <w:t>WMO-No. 1160</w:t>
      </w:r>
      <w:r>
        <w:rPr>
          <w:rFonts w:hint="eastAsia" w:ascii="宋体" w:hAnsi="宋体" w:eastAsia="宋体" w:cs="宋体"/>
          <w:lang w:eastAsia="zh-CN"/>
        </w:rPr>
        <w:t>）第</w:t>
      </w:r>
      <w:r>
        <w:rPr>
          <w:rFonts w:eastAsia="宋体" w:cs="Verdana"/>
          <w:lang w:eastAsia="zh-CN"/>
        </w:rPr>
        <w:t>2.4.4.1</w:t>
      </w:r>
      <w:r>
        <w:rPr>
          <w:rFonts w:hint="eastAsia" w:ascii="宋体" w:hAnsi="宋体" w:eastAsia="宋体" w:cs="宋体"/>
          <w:lang w:eastAsia="zh-CN"/>
        </w:rPr>
        <w:t>节，各会员应按</w:t>
      </w:r>
      <w:r>
        <w:rPr>
          <w:rFonts w:hint="eastAsia" w:ascii="宋体" w:hAnsi="宋体" w:eastAsia="宋体" w:cs="宋体"/>
        </w:rPr>
        <w:fldChar w:fldCharType="begin"/>
      </w:r>
      <w:r>
        <w:rPr>
          <w:rFonts w:hint="eastAsia" w:ascii="宋体" w:hAnsi="宋体" w:eastAsia="宋体" w:cs="宋体"/>
          <w:lang w:eastAsia="zh-CN"/>
        </w:rPr>
        <w:instrText xml:space="preserve"> HYPERLINK "https://library.wmo.int/index.php?lvl=notice_display&amp;id=13617" \l ".Y-C4nC9Bybg" </w:instrText>
      </w:r>
      <w:r>
        <w:rPr>
          <w:rFonts w:hint="eastAsia" w:ascii="宋体" w:hAnsi="宋体" w:eastAsia="宋体" w:cs="宋体"/>
        </w:rPr>
        <w:fldChar w:fldCharType="separate"/>
      </w:r>
      <w:r>
        <w:rPr>
          <w:rStyle w:val="43"/>
          <w:rFonts w:hint="eastAsia" w:ascii="宋体" w:hAnsi="宋体" w:eastAsia="宋体" w:cs="宋体"/>
          <w:lang w:eastAsia="zh-CN"/>
        </w:rPr>
        <w:t>《电码手册》</w:t>
      </w:r>
      <w:r>
        <w:rPr>
          <w:rFonts w:hint="eastAsia" w:ascii="宋体" w:hAnsi="宋体" w:eastAsia="宋体" w:cs="宋体"/>
        </w:rPr>
        <w:fldChar w:fldCharType="end"/>
      </w:r>
      <w:r>
        <w:rPr>
          <w:rFonts w:hint="eastAsia" w:ascii="宋体" w:hAnsi="宋体" w:eastAsia="宋体" w:cs="宋体"/>
          <w:lang w:eastAsia="zh-CN"/>
        </w:rPr>
        <w:t>（</w:t>
      </w:r>
      <w:r>
        <w:rPr>
          <w:rFonts w:eastAsia="宋体" w:cs="Verdana"/>
          <w:lang w:eastAsia="zh-CN"/>
        </w:rPr>
        <w:t>WMO</w:t>
      </w:r>
      <w:r>
        <w:rPr>
          <w:rFonts w:eastAsia="宋体" w:cs="Verdana"/>
          <w:lang w:val="en-US" w:eastAsia="zh-CN"/>
        </w:rPr>
        <w:t>-</w:t>
      </w:r>
      <w:r>
        <w:rPr>
          <w:rFonts w:eastAsia="宋体" w:cs="Verdana"/>
          <w:lang w:eastAsia="zh-CN"/>
        </w:rPr>
        <w:t>No. 306</w:t>
      </w:r>
      <w:r>
        <w:rPr>
          <w:rFonts w:hint="eastAsia" w:ascii="宋体" w:hAnsi="宋体" w:eastAsia="宋体" w:cs="宋体"/>
          <w:lang w:eastAsia="zh-CN"/>
        </w:rPr>
        <w:t>）第</w:t>
      </w:r>
      <w:r>
        <w:rPr>
          <w:rFonts w:eastAsia="宋体" w:cs="Verdana"/>
          <w:lang w:eastAsia="zh-CN"/>
        </w:rPr>
        <w:t>I.1</w:t>
      </w:r>
      <w:r>
        <w:rPr>
          <w:rFonts w:hint="eastAsia" w:ascii="宋体" w:hAnsi="宋体" w:eastAsia="宋体" w:cs="宋体"/>
          <w:lang w:eastAsia="zh-CN"/>
        </w:rPr>
        <w:t>、</w:t>
      </w:r>
      <w:r>
        <w:rPr>
          <w:rFonts w:eastAsia="宋体" w:cs="Verdana"/>
          <w:lang w:eastAsia="zh-CN"/>
        </w:rPr>
        <w:t>I.2</w:t>
      </w:r>
      <w:r>
        <w:rPr>
          <w:rFonts w:hint="eastAsia" w:ascii="宋体" w:hAnsi="宋体" w:eastAsia="宋体" w:cs="宋体"/>
          <w:lang w:eastAsia="zh-CN"/>
        </w:rPr>
        <w:t>和</w:t>
      </w:r>
      <w:r>
        <w:rPr>
          <w:rFonts w:eastAsia="宋体" w:cs="Verdana"/>
          <w:lang w:eastAsia="zh-CN"/>
        </w:rPr>
        <w:t>I.3</w:t>
      </w:r>
      <w:r>
        <w:rPr>
          <w:rFonts w:hint="eastAsia" w:ascii="宋体" w:hAnsi="宋体" w:eastAsia="宋体" w:cs="宋体"/>
          <w:lang w:eastAsia="zh-CN"/>
        </w:rPr>
        <w:t>卷规定的标准格式，例如表示气象数据的二进制通用格式（</w:t>
      </w:r>
      <w:r>
        <w:rPr>
          <w:rFonts w:eastAsia="宋体" w:cs="Verdana"/>
          <w:lang w:eastAsia="zh-CN"/>
        </w:rPr>
        <w:t>BUFR</w:t>
      </w:r>
      <w:r>
        <w:rPr>
          <w:rFonts w:hint="eastAsia" w:ascii="宋体" w:hAnsi="宋体" w:eastAsia="宋体" w:cs="宋体"/>
          <w:lang w:eastAsia="zh-CN"/>
        </w:rPr>
        <w:t>），通过</w:t>
      </w:r>
      <w:r>
        <w:rPr>
          <w:rFonts w:eastAsia="宋体" w:cs="Verdana"/>
          <w:lang w:eastAsia="zh-CN"/>
        </w:rPr>
        <w:t>WMO</w:t>
      </w:r>
      <w:r>
        <w:rPr>
          <w:rFonts w:hint="eastAsia" w:ascii="宋体" w:hAnsi="宋体" w:eastAsia="宋体" w:cs="宋体"/>
          <w:lang w:eastAsia="zh-CN"/>
        </w:rPr>
        <w:t>信息系统（</w:t>
      </w:r>
      <w:r>
        <w:rPr>
          <w:rFonts w:eastAsia="宋体" w:cs="Verdana"/>
          <w:lang w:eastAsia="zh-CN"/>
        </w:rPr>
        <w:t>WIS</w:t>
      </w:r>
      <w:r>
        <w:rPr>
          <w:rFonts w:hint="eastAsia" w:ascii="宋体" w:hAnsi="宋体" w:eastAsia="宋体" w:cs="宋体"/>
          <w:lang w:eastAsia="zh-CN"/>
        </w:rPr>
        <w:t>）实时报告和提供观测数据。例如，高空测量的最小</w:t>
      </w:r>
      <w:r>
        <w:rPr>
          <w:rFonts w:eastAsia="宋体" w:cs="Verdana"/>
          <w:lang w:eastAsia="zh-CN"/>
        </w:rPr>
        <w:t>100 m</w:t>
      </w:r>
      <w:r>
        <w:rPr>
          <w:rFonts w:hint="eastAsia" w:eastAsia="宋体" w:cs="Verdana"/>
          <w:lang w:eastAsia="zh-CN"/>
        </w:rPr>
        <w:t>的</w:t>
      </w:r>
      <w:r>
        <w:rPr>
          <w:rFonts w:hint="eastAsia" w:ascii="宋体" w:hAnsi="宋体" w:eastAsia="宋体" w:cs="宋体"/>
          <w:lang w:eastAsia="zh-CN"/>
        </w:rPr>
        <w:t>垂直分辨率要求每</w:t>
      </w:r>
      <w:r>
        <w:rPr>
          <w:rFonts w:eastAsia="宋体" w:cs="Verdana"/>
          <w:lang w:eastAsia="zh-CN"/>
        </w:rPr>
        <w:t>20</w:t>
      </w:r>
      <w:r>
        <w:rPr>
          <w:rFonts w:hint="eastAsia" w:eastAsia="宋体" w:cs="Verdana"/>
          <w:lang w:eastAsia="zh-CN"/>
        </w:rPr>
        <w:t>秒</w:t>
      </w:r>
      <w:r>
        <w:rPr>
          <w:rFonts w:hint="eastAsia" w:ascii="宋体" w:hAnsi="宋体" w:eastAsia="宋体" w:cs="宋体"/>
          <w:lang w:eastAsia="zh-CN"/>
        </w:rPr>
        <w:t>进行一次测量，这只能通过完整的</w:t>
      </w:r>
      <w:r>
        <w:rPr>
          <w:rFonts w:eastAsia="宋体" w:cs="Verdana"/>
          <w:lang w:eastAsia="zh-CN"/>
        </w:rPr>
        <w:t>BUFR</w:t>
      </w:r>
      <w:r>
        <w:rPr>
          <w:rFonts w:hint="eastAsia" w:ascii="宋体" w:hAnsi="宋体" w:eastAsia="宋体" w:cs="宋体"/>
          <w:lang w:eastAsia="zh-CN"/>
        </w:rPr>
        <w:t>代码实现。</w:t>
      </w:r>
    </w:p>
    <w:p>
      <w:pPr>
        <w:pStyle w:val="6"/>
        <w:spacing w:before="480" w:after="200" w:line="276" w:lineRule="auto"/>
        <w:rPr>
          <w:rFonts w:ascii="微软雅黑" w:hAnsi="微软雅黑" w:eastAsia="微软雅黑" w:cs="微软雅黑"/>
          <w:lang w:eastAsia="zh-CN"/>
        </w:rPr>
      </w:pPr>
      <w:r>
        <w:rPr>
          <w:rFonts w:cstheme="minorHAnsi"/>
          <w:lang w:eastAsia="zh-CN"/>
        </w:rPr>
        <w:t>4.2</w:t>
      </w:r>
      <w:r>
        <w:rPr>
          <w:rFonts w:cstheme="minorHAnsi"/>
          <w:lang w:eastAsia="zh-CN"/>
        </w:rPr>
        <w:tab/>
      </w:r>
      <w:r>
        <w:rPr>
          <w:rFonts w:hint="eastAsia" w:ascii="微软雅黑" w:hAnsi="微软雅黑" w:eastAsia="微软雅黑" w:cs="微软雅黑"/>
          <w:lang w:eastAsia="zh-CN"/>
        </w:rPr>
        <w:t>台站级合规监测</w:t>
      </w:r>
    </w:p>
    <w:p>
      <w:pPr>
        <w:pStyle w:val="2"/>
        <w:rPr>
          <w:rFonts w:ascii="微软雅黑" w:hAnsi="微软雅黑" w:eastAsia="微软雅黑" w:cs="微软雅黑"/>
          <w:b/>
          <w:bCs/>
          <w:lang w:eastAsia="zh-CN"/>
        </w:rPr>
      </w:pPr>
      <w:r>
        <w:rPr>
          <w:b/>
          <w:bCs/>
          <w:lang w:eastAsia="zh-CN"/>
        </w:rPr>
        <w:t xml:space="preserve">4.2.1 </w:t>
      </w:r>
      <w:r>
        <w:rPr>
          <w:b/>
          <w:bCs/>
          <w:lang w:eastAsia="zh-CN"/>
        </w:rPr>
        <w:tab/>
      </w:r>
      <w:r>
        <w:rPr>
          <w:rFonts w:hint="eastAsia" w:ascii="微软雅黑" w:hAnsi="微软雅黑" w:eastAsia="微软雅黑" w:cs="微软雅黑"/>
          <w:b/>
          <w:bCs/>
          <w:lang w:eastAsia="zh-CN"/>
        </w:rPr>
        <w:t>台站级合规标准</w:t>
      </w:r>
    </w:p>
    <w:p>
      <w:pPr>
        <w:pStyle w:val="2"/>
        <w:rPr>
          <w:rFonts w:ascii="宋体" w:hAnsi="宋体" w:eastAsia="宋体" w:cs="宋体"/>
          <w:lang w:eastAsia="zh-CN"/>
        </w:rPr>
      </w:pPr>
      <w:r>
        <w:rPr>
          <w:rFonts w:hint="eastAsia" w:ascii="宋体" w:hAnsi="宋体" w:eastAsia="宋体" w:cs="宋体"/>
          <w:lang w:eastAsia="zh-CN"/>
        </w:rPr>
        <w:t>表</w:t>
      </w:r>
      <w:r>
        <w:rPr>
          <w:rFonts w:eastAsia="宋体" w:cs="Verdana"/>
          <w:lang w:eastAsia="zh-CN"/>
        </w:rPr>
        <w:t>4.1</w:t>
      </w:r>
      <w:r>
        <w:rPr>
          <w:rFonts w:hint="eastAsia" w:ascii="宋体" w:hAnsi="宋体" w:eastAsia="宋体" w:cs="宋体"/>
          <w:lang w:eastAsia="zh-CN"/>
        </w:rPr>
        <w:t>列出了</w:t>
      </w:r>
      <w:r>
        <w:rPr>
          <w:rFonts w:eastAsia="宋体" w:cs="Verdana"/>
          <w:lang w:eastAsia="zh-CN"/>
        </w:rPr>
        <w:t>GBON</w:t>
      </w:r>
      <w:r>
        <w:rPr>
          <w:rFonts w:hint="eastAsia" w:ascii="宋体" w:hAnsi="宋体" w:eastAsia="宋体" w:cs="宋体"/>
          <w:lang w:eastAsia="zh-CN"/>
        </w:rPr>
        <w:t>地面或海面台站/平台为合规应达到的标准，表</w:t>
      </w:r>
      <w:r>
        <w:rPr>
          <w:rFonts w:eastAsia="宋体" w:cs="Verdana"/>
          <w:lang w:eastAsia="zh-CN"/>
        </w:rPr>
        <w:t>4.2</w:t>
      </w:r>
      <w:r>
        <w:rPr>
          <w:rFonts w:hint="eastAsia" w:ascii="宋体" w:hAnsi="宋体" w:eastAsia="宋体" w:cs="宋体"/>
          <w:lang w:eastAsia="zh-CN"/>
        </w:rPr>
        <w:t>则列出了</w:t>
      </w:r>
      <w:r>
        <w:rPr>
          <w:rFonts w:eastAsia="宋体" w:cs="Verdana"/>
          <w:lang w:eastAsia="zh-CN"/>
        </w:rPr>
        <w:t>GBON</w:t>
      </w:r>
      <w:r>
        <w:rPr>
          <w:rFonts w:hint="eastAsia" w:ascii="宋体" w:hAnsi="宋体" w:eastAsia="宋体" w:cs="宋体"/>
          <w:lang w:eastAsia="zh-CN"/>
        </w:rPr>
        <w:t>高空陆地和海洋台站应达到的标准。这些标准适用于第</w:t>
      </w:r>
      <w:r>
        <w:rPr>
          <w:rFonts w:eastAsia="宋体" w:cs="Verdana"/>
          <w:lang w:eastAsia="zh-CN"/>
        </w:rPr>
        <w:t>2.1</w:t>
      </w:r>
      <w:r>
        <w:rPr>
          <w:rFonts w:hint="eastAsia" w:ascii="宋体" w:hAnsi="宋体" w:eastAsia="宋体" w:cs="宋体"/>
          <w:lang w:eastAsia="zh-CN"/>
        </w:rPr>
        <w:t>节中定义的每个实测变量。</w:t>
      </w:r>
    </w:p>
    <w:p>
      <w:pPr>
        <w:keepNext/>
        <w:keepLines/>
        <w:spacing w:after="240"/>
        <w:jc w:val="center"/>
        <w:rPr>
          <w:rFonts w:eastAsia="Verdana" w:cstheme="minorHAnsi"/>
          <w:b/>
          <w:bCs/>
          <w:lang w:eastAsia="zh-CN"/>
        </w:rPr>
      </w:pPr>
      <w:r>
        <w:rPr>
          <w:rFonts w:hint="eastAsia" w:ascii="微软雅黑" w:hAnsi="微软雅黑" w:eastAsia="微软雅黑" w:cs="微软雅黑"/>
          <w:b/>
          <w:bCs/>
          <w:lang w:eastAsia="zh-CN"/>
        </w:rPr>
        <w:t>表</w:t>
      </w:r>
      <w:r>
        <w:rPr>
          <w:rFonts w:eastAsia="Verdana" w:cstheme="minorHAnsi"/>
          <w:b/>
          <w:bCs/>
          <w:lang w:eastAsia="zh-CN"/>
        </w:rPr>
        <w:t>4.1</w:t>
      </w:r>
      <w:r>
        <w:rPr>
          <w:rFonts w:hint="eastAsia" w:ascii="微软雅黑" w:hAnsi="微软雅黑" w:eastAsia="微软雅黑" w:cs="微软雅黑"/>
          <w:b/>
          <w:bCs/>
          <w:lang w:eastAsia="zh-CN"/>
        </w:rPr>
        <w:t>：</w:t>
      </w:r>
      <w:r>
        <w:rPr>
          <w:rFonts w:eastAsia="Verdana" w:cstheme="minorHAnsi"/>
          <w:b/>
          <w:bCs/>
          <w:lang w:eastAsia="zh-CN"/>
        </w:rPr>
        <w:t>GBON</w:t>
      </w:r>
      <w:r>
        <w:rPr>
          <w:rFonts w:hint="eastAsia" w:ascii="微软雅黑" w:hAnsi="微软雅黑" w:eastAsia="微软雅黑" w:cs="微软雅黑"/>
          <w:b/>
          <w:bCs/>
          <w:lang w:eastAsia="zh-CN"/>
        </w:rPr>
        <w:t>地面和海面气象观测站/平台的合规标准</w:t>
      </w:r>
    </w:p>
    <w:tbl>
      <w:tblPr>
        <w:tblStyle w:val="34"/>
        <w:tblW w:w="5000"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02"/>
        <w:gridCol w:w="2430"/>
        <w:gridCol w:w="5527"/>
        <w:gridCol w:w="1096"/>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407" w:type="pct"/>
            <w:shd w:val="clear" w:color="auto" w:fill="F1F1F1" w:themeFill="background1" w:themeFillShade="F2"/>
            <w:vAlign w:val="center"/>
          </w:tcPr>
          <w:p>
            <w:pPr>
              <w:keepNext/>
              <w:keepLines/>
              <w:spacing w:before="120" w:after="120"/>
              <w:jc w:val="center"/>
              <w:rPr>
                <w:rFonts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val="en-US" w:eastAsia="zh-CN"/>
              </w:rPr>
              <w:t>标志</w:t>
            </w:r>
          </w:p>
        </w:tc>
        <w:tc>
          <w:tcPr>
            <w:tcW w:w="1233" w:type="pct"/>
            <w:shd w:val="clear" w:color="auto" w:fill="F1F1F1" w:themeFill="background1" w:themeFillShade="F2"/>
            <w:vAlign w:val="center"/>
          </w:tcPr>
          <w:p>
            <w:pPr>
              <w:keepNext/>
              <w:keepLines/>
              <w:spacing w:before="120" w:after="120"/>
              <w:jc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名称</w:t>
            </w:r>
          </w:p>
        </w:tc>
        <w:tc>
          <w:tcPr>
            <w:tcW w:w="2804" w:type="pct"/>
            <w:shd w:val="clear" w:color="auto" w:fill="F1F1F1" w:themeFill="background1" w:themeFillShade="F2"/>
            <w:vAlign w:val="center"/>
          </w:tcPr>
          <w:p>
            <w:pPr>
              <w:keepNext/>
              <w:keepLines/>
              <w:spacing w:before="120" w:after="120"/>
              <w:jc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说明</w:t>
            </w:r>
          </w:p>
        </w:tc>
        <w:tc>
          <w:tcPr>
            <w:tcW w:w="556" w:type="pct"/>
            <w:shd w:val="clear" w:color="auto" w:fill="F1F1F1" w:themeFill="background1" w:themeFillShade="F2"/>
            <w:vAlign w:val="center"/>
          </w:tcPr>
          <w:p>
            <w:pPr>
              <w:keepNext/>
              <w:keepLines/>
              <w:spacing w:before="120" w:after="120"/>
              <w:jc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标准</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407" w:type="pct"/>
            <w:vAlign w:val="center"/>
          </w:tcPr>
          <w:p>
            <w:pPr>
              <w:keepNext/>
              <w:keepLines/>
              <w:spacing w:before="120" w:after="120"/>
              <w:jc w:val="center"/>
              <w:rPr>
                <w:rFonts w:eastAsia="Verdana" w:cs="Times New Roman"/>
                <w:sz w:val="20"/>
                <w:szCs w:val="20"/>
                <w:lang w:eastAsia="en-US"/>
              </w:rPr>
            </w:pPr>
            <w:r>
              <w:rPr>
                <w:rFonts w:eastAsia="Verdana" w:cs="Times New Roman"/>
                <w:sz w:val="20"/>
                <w:szCs w:val="20"/>
                <w:lang w:eastAsia="en-US"/>
              </w:rPr>
              <w:t>S</w:t>
            </w:r>
            <w:r>
              <w:rPr>
                <w:rFonts w:eastAsia="Verdana" w:cs="Times New Roman"/>
                <w:sz w:val="20"/>
                <w:szCs w:val="20"/>
                <w:vertAlign w:val="subscript"/>
                <w:lang w:eastAsia="en-US"/>
              </w:rPr>
              <w:t>SL</w:t>
            </w:r>
            <w:r>
              <w:rPr>
                <w:rFonts w:eastAsia="Verdana" w:cs="Times New Roman"/>
                <w:sz w:val="20"/>
                <w:szCs w:val="20"/>
                <w:lang w:eastAsia="en-US"/>
              </w:rPr>
              <w:t xml:space="preserve"> 1</w:t>
            </w:r>
          </w:p>
        </w:tc>
        <w:tc>
          <w:tcPr>
            <w:tcW w:w="1233" w:type="pct"/>
            <w:vAlign w:val="center"/>
          </w:tcPr>
          <w:p>
            <w:pPr>
              <w:keepNext/>
              <w:keepLines/>
              <w:spacing w:before="120" w:after="120"/>
              <w:jc w:val="center"/>
              <w:rPr>
                <w:rFonts w:ascii="宋体" w:hAnsi="宋体" w:eastAsia="宋体" w:cs="宋体"/>
                <w:sz w:val="20"/>
                <w:szCs w:val="20"/>
              </w:rPr>
            </w:pPr>
            <w:r>
              <w:rPr>
                <w:rFonts w:hint="eastAsia" w:ascii="宋体" w:hAnsi="宋体" w:eastAsia="宋体" w:cs="宋体"/>
                <w:sz w:val="20"/>
                <w:szCs w:val="20"/>
              </w:rPr>
              <w:t>每月可用性（</w:t>
            </w:r>
            <w:r>
              <w:rPr>
                <w:rFonts w:eastAsia="宋体" w:cs="Verdana"/>
                <w:sz w:val="20"/>
                <w:szCs w:val="20"/>
              </w:rPr>
              <w:t>%</w:t>
            </w:r>
            <w:r>
              <w:rPr>
                <w:rFonts w:hint="eastAsia" w:ascii="宋体" w:hAnsi="宋体" w:eastAsia="宋体" w:cs="宋体"/>
                <w:sz w:val="20"/>
                <w:szCs w:val="20"/>
              </w:rPr>
              <w:t>）</w:t>
            </w:r>
          </w:p>
        </w:tc>
        <w:tc>
          <w:tcPr>
            <w:tcW w:w="2804" w:type="pct"/>
            <w:vAlign w:val="center"/>
          </w:tcPr>
          <w:p>
            <w:pPr>
              <w:keepNext/>
              <w:keepLines/>
              <w:spacing w:before="120" w:after="120"/>
              <w:ind w:left="-112" w:right="-105"/>
              <w:jc w:val="center"/>
              <w:rPr>
                <w:rFonts w:ascii="宋体" w:hAnsi="宋体" w:eastAsia="宋体" w:cs="宋体"/>
                <w:sz w:val="20"/>
                <w:szCs w:val="20"/>
                <w:lang w:eastAsia="zh-CN"/>
              </w:rPr>
            </w:pPr>
            <w:r>
              <w:rPr>
                <w:rFonts w:hint="eastAsia" w:ascii="宋体" w:hAnsi="宋体" w:eastAsia="宋体" w:cs="宋体"/>
                <w:sz w:val="20"/>
                <w:szCs w:val="20"/>
                <w:lang w:eastAsia="zh-CN"/>
              </w:rPr>
              <w:t>每月收到的报告数量</w:t>
            </w:r>
            <w:r>
              <w:rPr>
                <w:rFonts w:eastAsia="宋体" w:cs="Verdana"/>
                <w:sz w:val="20"/>
                <w:szCs w:val="20"/>
                <w:vertAlign w:val="superscript"/>
              </w:rPr>
              <w:footnoteReference w:id="2"/>
            </w:r>
            <w:r>
              <w:rPr>
                <w:rFonts w:hint="eastAsia" w:ascii="宋体" w:hAnsi="宋体" w:eastAsia="宋体" w:cs="宋体"/>
                <w:sz w:val="20"/>
                <w:szCs w:val="20"/>
                <w:lang w:eastAsia="zh-CN"/>
              </w:rPr>
              <w:t>/</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（每月天数*</w:t>
            </w:r>
            <w:r>
              <w:rPr>
                <w:rFonts w:eastAsia="宋体" w:cs="Verdana"/>
                <w:sz w:val="20"/>
                <w:szCs w:val="20"/>
                <w:lang w:eastAsia="zh-CN"/>
              </w:rPr>
              <w:t>24</w:t>
            </w:r>
            <w:r>
              <w:rPr>
                <w:rStyle w:val="45"/>
                <w:rFonts w:eastAsia="宋体" w:cs="Verdana"/>
                <w:sz w:val="20"/>
                <w:szCs w:val="20"/>
              </w:rPr>
              <w:footnoteReference w:id="3"/>
            </w:r>
            <w:r>
              <w:rPr>
                <w:rFonts w:hint="eastAsia" w:ascii="宋体" w:hAnsi="宋体" w:eastAsia="宋体" w:cs="宋体"/>
                <w:sz w:val="20"/>
                <w:szCs w:val="20"/>
                <w:lang w:eastAsia="zh-CN"/>
              </w:rPr>
              <w:t>）每月</w:t>
            </w:r>
          </w:p>
        </w:tc>
        <w:tc>
          <w:tcPr>
            <w:tcW w:w="556" w:type="pct"/>
            <w:vAlign w:val="center"/>
          </w:tcPr>
          <w:p>
            <w:pPr>
              <w:keepNext/>
              <w:keepLines/>
              <w:spacing w:before="120" w:after="120"/>
              <w:jc w:val="center"/>
              <w:rPr>
                <w:rFonts w:eastAsia="Verdana" w:cs="Times New Roman"/>
                <w:sz w:val="20"/>
                <w:szCs w:val="20"/>
              </w:rPr>
            </w:pPr>
            <w:r>
              <w:rPr>
                <w:rFonts w:eastAsia="Verdana" w:cs="Times New Roman"/>
                <w:sz w:val="20"/>
                <w:szCs w:val="20"/>
              </w:rPr>
              <w:t>≥ 80%</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407" w:type="pct"/>
            <w:vAlign w:val="center"/>
          </w:tcPr>
          <w:p>
            <w:pPr>
              <w:keepNext/>
              <w:keepLines/>
              <w:spacing w:before="120" w:after="120"/>
              <w:jc w:val="center"/>
              <w:rPr>
                <w:rFonts w:eastAsia="Verdana" w:cs="Times New Roman"/>
                <w:sz w:val="20"/>
                <w:szCs w:val="20"/>
                <w:lang w:eastAsia="en-US"/>
              </w:rPr>
            </w:pPr>
            <w:r>
              <w:rPr>
                <w:rFonts w:eastAsia="Verdana" w:cs="Times New Roman"/>
                <w:sz w:val="20"/>
                <w:szCs w:val="20"/>
                <w:lang w:eastAsia="en-US"/>
              </w:rPr>
              <w:t>S</w:t>
            </w:r>
            <w:r>
              <w:rPr>
                <w:rFonts w:eastAsia="Verdana" w:cs="Times New Roman"/>
                <w:sz w:val="20"/>
                <w:szCs w:val="20"/>
                <w:vertAlign w:val="subscript"/>
                <w:lang w:eastAsia="en-US"/>
              </w:rPr>
              <w:t>SL</w:t>
            </w:r>
            <w:r>
              <w:rPr>
                <w:rFonts w:eastAsia="Verdana" w:cs="Times New Roman"/>
                <w:sz w:val="20"/>
                <w:szCs w:val="20"/>
                <w:lang w:eastAsia="en-US"/>
              </w:rPr>
              <w:t xml:space="preserve"> 2</w:t>
            </w:r>
          </w:p>
        </w:tc>
        <w:tc>
          <w:tcPr>
            <w:tcW w:w="1233" w:type="pct"/>
            <w:vAlign w:val="center"/>
          </w:tcPr>
          <w:p>
            <w:pPr>
              <w:keepNext/>
              <w:keepLines/>
              <w:spacing w:before="120" w:after="120"/>
              <w:jc w:val="center"/>
              <w:rPr>
                <w:rFonts w:ascii="宋体" w:hAnsi="宋体" w:eastAsia="宋体" w:cs="宋体"/>
                <w:sz w:val="20"/>
                <w:szCs w:val="20"/>
              </w:rPr>
            </w:pPr>
            <w:r>
              <w:rPr>
                <w:rFonts w:hint="eastAsia" w:ascii="宋体" w:hAnsi="宋体" w:eastAsia="宋体" w:cs="宋体"/>
                <w:sz w:val="20"/>
                <w:szCs w:val="20"/>
              </w:rPr>
              <w:t>及时性（</w:t>
            </w:r>
            <w:r>
              <w:rPr>
                <w:rFonts w:eastAsia="宋体" w:cs="Verdana"/>
                <w:sz w:val="20"/>
                <w:szCs w:val="20"/>
              </w:rPr>
              <w:t>%</w:t>
            </w:r>
            <w:r>
              <w:rPr>
                <w:rFonts w:hint="eastAsia" w:ascii="宋体" w:hAnsi="宋体" w:eastAsia="宋体" w:cs="宋体"/>
                <w:sz w:val="20"/>
                <w:szCs w:val="20"/>
              </w:rPr>
              <w:t>）</w:t>
            </w:r>
          </w:p>
        </w:tc>
        <w:tc>
          <w:tcPr>
            <w:tcW w:w="2804" w:type="pct"/>
            <w:vAlign w:val="center"/>
          </w:tcPr>
          <w:p>
            <w:pPr>
              <w:keepNext/>
              <w:keepLines/>
              <w:spacing w:before="120" w:after="120"/>
              <w:jc w:val="center"/>
              <w:rPr>
                <w:rFonts w:ascii="宋体" w:hAnsi="宋体" w:eastAsia="宋体" w:cs="宋体"/>
                <w:sz w:val="20"/>
                <w:szCs w:val="20"/>
                <w:lang w:eastAsia="zh-CN"/>
              </w:rPr>
            </w:pPr>
            <w:r>
              <w:rPr>
                <w:rFonts w:hint="eastAsia" w:ascii="宋体" w:hAnsi="宋体" w:eastAsia="宋体" w:cs="宋体"/>
                <w:sz w:val="20"/>
                <w:szCs w:val="20"/>
                <w:lang w:eastAsia="zh-CN"/>
              </w:rPr>
              <w:t>延迟的</w:t>
            </w:r>
            <w:r>
              <w:rPr>
                <w:rFonts w:eastAsia="宋体" w:cs="Verdana"/>
                <w:sz w:val="20"/>
                <w:szCs w:val="20"/>
                <w:lang w:eastAsia="zh-CN"/>
              </w:rPr>
              <w:t>BUFR</w:t>
            </w:r>
            <w:r>
              <w:rPr>
                <w:rFonts w:hint="eastAsia" w:ascii="宋体" w:hAnsi="宋体" w:eastAsia="宋体" w:cs="宋体"/>
                <w:sz w:val="20"/>
                <w:szCs w:val="20"/>
                <w:lang w:eastAsia="zh-CN"/>
              </w:rPr>
              <w:t>报告数量</w:t>
            </w:r>
            <w:r>
              <w:rPr>
                <w:rFonts w:eastAsia="宋体" w:cs="Verdana"/>
                <w:sz w:val="20"/>
                <w:szCs w:val="20"/>
                <w:vertAlign w:val="superscript"/>
              </w:rPr>
              <w:footnoteReference w:id="4"/>
            </w:r>
            <w:r>
              <w:rPr>
                <w:rFonts w:hint="eastAsia" w:ascii="宋体" w:hAnsi="宋体" w:eastAsia="宋体" w:cs="宋体"/>
                <w:sz w:val="20"/>
                <w:szCs w:val="20"/>
                <w:lang w:eastAsia="zh-CN"/>
              </w:rPr>
              <w:t>/（每月天数*</w:t>
            </w:r>
            <w:r>
              <w:rPr>
                <w:rFonts w:eastAsia="宋体" w:cs="Verdana"/>
                <w:sz w:val="20"/>
                <w:szCs w:val="20"/>
                <w:lang w:eastAsia="zh-CN"/>
              </w:rPr>
              <w:t>24</w:t>
            </w:r>
            <w:r>
              <w:rPr>
                <w:rFonts w:hint="eastAsia" w:ascii="宋体" w:hAnsi="宋体" w:eastAsia="宋体" w:cs="宋体"/>
                <w:sz w:val="20"/>
                <w:szCs w:val="20"/>
                <w:lang w:eastAsia="zh-CN"/>
              </w:rPr>
              <w:t>）</w:t>
            </w:r>
          </w:p>
        </w:tc>
        <w:tc>
          <w:tcPr>
            <w:tcW w:w="556" w:type="pct"/>
            <w:vAlign w:val="center"/>
          </w:tcPr>
          <w:p>
            <w:pPr>
              <w:keepNext/>
              <w:keepLines/>
              <w:spacing w:before="120" w:after="120"/>
              <w:jc w:val="center"/>
              <w:rPr>
                <w:rFonts w:eastAsia="Verdana" w:cs="Times New Roman"/>
                <w:sz w:val="20"/>
                <w:szCs w:val="20"/>
              </w:rPr>
            </w:pPr>
            <w:r>
              <w:rPr>
                <w:rFonts w:eastAsia="Verdana" w:cs="Times New Roman"/>
                <w:sz w:val="20"/>
                <w:szCs w:val="20"/>
              </w:rPr>
              <w:t>&lt; 5%</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407" w:type="pct"/>
            <w:vAlign w:val="center"/>
          </w:tcPr>
          <w:p>
            <w:pPr>
              <w:spacing w:before="120" w:after="120"/>
              <w:jc w:val="center"/>
              <w:rPr>
                <w:rFonts w:eastAsia="Verdana" w:cs="Times New Roman"/>
                <w:sz w:val="20"/>
                <w:szCs w:val="20"/>
                <w:lang w:eastAsia="en-US"/>
              </w:rPr>
            </w:pPr>
            <w:r>
              <w:rPr>
                <w:rFonts w:eastAsia="Verdana" w:cs="Times New Roman"/>
                <w:sz w:val="20"/>
                <w:szCs w:val="20"/>
                <w:lang w:eastAsia="en-US"/>
              </w:rPr>
              <w:t>S</w:t>
            </w:r>
            <w:r>
              <w:rPr>
                <w:rFonts w:eastAsia="Verdana" w:cs="Times New Roman"/>
                <w:sz w:val="20"/>
                <w:szCs w:val="20"/>
                <w:vertAlign w:val="subscript"/>
                <w:lang w:eastAsia="en-US"/>
              </w:rPr>
              <w:t>SL</w:t>
            </w:r>
            <w:r>
              <w:rPr>
                <w:rFonts w:eastAsia="Verdana" w:cs="Times New Roman"/>
                <w:sz w:val="20"/>
                <w:szCs w:val="20"/>
                <w:lang w:eastAsia="en-US"/>
              </w:rPr>
              <w:t xml:space="preserve"> 3</w:t>
            </w:r>
          </w:p>
        </w:tc>
        <w:tc>
          <w:tcPr>
            <w:tcW w:w="1233" w:type="pct"/>
            <w:vAlign w:val="center"/>
          </w:tcPr>
          <w:p>
            <w:pPr>
              <w:spacing w:before="120" w:after="120"/>
              <w:jc w:val="center"/>
              <w:rPr>
                <w:rFonts w:ascii="宋体" w:hAnsi="宋体" w:eastAsia="宋体" w:cs="宋体"/>
                <w:sz w:val="20"/>
                <w:szCs w:val="20"/>
              </w:rPr>
            </w:pPr>
            <w:r>
              <w:rPr>
                <w:rFonts w:hint="eastAsia" w:ascii="宋体" w:hAnsi="宋体" w:eastAsia="宋体" w:cs="宋体"/>
                <w:sz w:val="20"/>
                <w:szCs w:val="20"/>
              </w:rPr>
              <w:t>月度质量（</w:t>
            </w:r>
            <w:r>
              <w:rPr>
                <w:rFonts w:eastAsia="宋体" w:cs="Verdana"/>
                <w:sz w:val="20"/>
                <w:szCs w:val="20"/>
              </w:rPr>
              <w:t>%</w:t>
            </w:r>
            <w:r>
              <w:rPr>
                <w:rFonts w:hint="eastAsia" w:ascii="宋体" w:hAnsi="宋体" w:eastAsia="宋体" w:cs="宋体"/>
                <w:sz w:val="20"/>
                <w:szCs w:val="20"/>
              </w:rPr>
              <w:t>）</w:t>
            </w:r>
          </w:p>
        </w:tc>
        <w:tc>
          <w:tcPr>
            <w:tcW w:w="2804" w:type="pct"/>
            <w:vAlign w:val="center"/>
          </w:tcPr>
          <w:p>
            <w:pPr>
              <w:spacing w:before="120" w:after="120"/>
              <w:ind w:left="-112" w:right="-105"/>
              <w:jc w:val="center"/>
              <w:rPr>
                <w:rFonts w:ascii="宋体" w:hAnsi="宋体" w:eastAsia="宋体" w:cs="宋体"/>
                <w:sz w:val="20"/>
                <w:szCs w:val="20"/>
                <w:lang w:eastAsia="zh-CN"/>
              </w:rPr>
            </w:pPr>
            <w:r>
              <w:rPr>
                <w:rFonts w:hint="eastAsia" w:ascii="宋体" w:hAnsi="宋体" w:eastAsia="宋体" w:cs="宋体"/>
                <w:sz w:val="20"/>
                <w:szCs w:val="20"/>
                <w:lang w:val="en-US" w:eastAsia="zh-CN"/>
              </w:rPr>
              <w:t>每月</w:t>
            </w:r>
            <w:r>
              <w:rPr>
                <w:rFonts w:hint="eastAsia" w:ascii="宋体" w:hAnsi="宋体" w:eastAsia="宋体" w:cs="宋体"/>
                <w:sz w:val="20"/>
                <w:szCs w:val="20"/>
                <w:lang w:eastAsia="zh-CN"/>
              </w:rPr>
              <w:t>驳回的报告数量</w:t>
            </w:r>
            <w:r>
              <w:rPr>
                <w:rFonts w:eastAsia="宋体" w:cs="Verdana"/>
                <w:sz w:val="20"/>
                <w:szCs w:val="20"/>
                <w:vertAlign w:val="superscript"/>
              </w:rPr>
              <w:footnoteReference w:id="5"/>
            </w:r>
            <w:r>
              <w:rPr>
                <w:rFonts w:hint="eastAsia" w:ascii="宋体" w:hAnsi="宋体" w:eastAsia="宋体" w:cs="宋体"/>
                <w:sz w:val="20"/>
                <w:szCs w:val="20"/>
                <w:lang w:eastAsia="zh-CN"/>
              </w:rPr>
              <w:t>/</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（每月天数*</w:t>
            </w:r>
            <w:r>
              <w:rPr>
                <w:rFonts w:eastAsia="宋体" w:cs="Verdana"/>
                <w:sz w:val="20"/>
                <w:szCs w:val="20"/>
                <w:lang w:eastAsia="zh-CN"/>
              </w:rPr>
              <w:t>24</w:t>
            </w:r>
            <w:r>
              <w:rPr>
                <w:rFonts w:hint="eastAsia" w:ascii="宋体" w:hAnsi="宋体" w:eastAsia="宋体" w:cs="宋体"/>
                <w:sz w:val="20"/>
                <w:szCs w:val="20"/>
                <w:lang w:eastAsia="zh-CN"/>
              </w:rPr>
              <w:t>）</w:t>
            </w:r>
          </w:p>
        </w:tc>
        <w:tc>
          <w:tcPr>
            <w:tcW w:w="556" w:type="pct"/>
            <w:vAlign w:val="center"/>
          </w:tcPr>
          <w:p>
            <w:pPr>
              <w:spacing w:before="120" w:after="120"/>
              <w:jc w:val="center"/>
              <w:rPr>
                <w:rFonts w:eastAsia="Verdana" w:cs="Times New Roman"/>
                <w:sz w:val="20"/>
                <w:szCs w:val="20"/>
              </w:rPr>
            </w:pPr>
            <w:r>
              <w:rPr>
                <w:rFonts w:eastAsia="Verdana" w:cs="Times New Roman"/>
                <w:sz w:val="20"/>
                <w:szCs w:val="20"/>
              </w:rPr>
              <w:t>&lt; 5%</w:t>
            </w:r>
          </w:p>
        </w:tc>
      </w:tr>
      <w:bookmarkEnd w:id="11"/>
    </w:tbl>
    <w:p>
      <w:pPr>
        <w:spacing w:before="360" w:after="240"/>
        <w:jc w:val="center"/>
        <w:rPr>
          <w:rFonts w:ascii="微软雅黑" w:hAnsi="微软雅黑" w:eastAsia="微软雅黑" w:cs="微软雅黑"/>
          <w:b/>
          <w:bCs/>
          <w:lang w:eastAsia="zh-CN"/>
        </w:rPr>
      </w:pPr>
      <w:r>
        <w:rPr>
          <w:rFonts w:hint="eastAsia" w:ascii="微软雅黑" w:hAnsi="微软雅黑" w:eastAsia="微软雅黑" w:cs="微软雅黑"/>
          <w:b/>
          <w:bCs/>
          <w:lang w:eastAsia="zh-CN"/>
        </w:rPr>
        <w:t>表</w:t>
      </w:r>
      <w:r>
        <w:rPr>
          <w:rFonts w:eastAsia="Verdana" w:cstheme="minorHAnsi"/>
          <w:b/>
          <w:bCs/>
          <w:lang w:eastAsia="zh-CN"/>
        </w:rPr>
        <w:t>4.2</w:t>
      </w:r>
      <w:r>
        <w:rPr>
          <w:rFonts w:hint="eastAsia" w:eastAsia="宋体" w:cstheme="minorHAnsi"/>
          <w:b/>
          <w:bCs/>
          <w:lang w:eastAsia="zh-CN"/>
        </w:rPr>
        <w:t>：GBON</w:t>
      </w:r>
      <w:r>
        <w:rPr>
          <w:rFonts w:hint="eastAsia" w:ascii="微软雅黑" w:hAnsi="微软雅黑" w:eastAsia="微软雅黑" w:cs="微软雅黑"/>
          <w:b/>
          <w:bCs/>
          <w:lang w:eastAsia="zh-CN"/>
        </w:rPr>
        <w:t>高空陆地和海洋观测站/平台的合规标准</w:t>
      </w:r>
    </w:p>
    <w:tbl>
      <w:tblPr>
        <w:tblStyle w:val="34"/>
        <w:tblW w:w="4998"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721"/>
        <w:gridCol w:w="2184"/>
        <w:gridCol w:w="4974"/>
        <w:gridCol w:w="986"/>
        <w:gridCol w:w="986"/>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773" w:type="dxa"/>
            <w:shd w:val="clear" w:color="auto" w:fill="F1F1F1" w:themeFill="background1" w:themeFillShade="F2"/>
            <w:vAlign w:val="center"/>
          </w:tcPr>
          <w:p>
            <w:pPr>
              <w:keepNext/>
              <w:keepLines/>
              <w:spacing w:before="120" w:after="120"/>
              <w:jc w:val="center"/>
              <w:rPr>
                <w:rFonts w:eastAsia="Verdana" w:cs="Times New Roman"/>
                <w:b/>
                <w:bCs/>
                <w:sz w:val="20"/>
                <w:szCs w:val="20"/>
                <w:lang w:eastAsia="en-US"/>
              </w:rPr>
            </w:pPr>
            <w:r>
              <w:rPr>
                <w:rFonts w:hint="eastAsia" w:ascii="微软雅黑" w:hAnsi="微软雅黑" w:eastAsia="微软雅黑" w:cs="微软雅黑"/>
                <w:b/>
                <w:bCs/>
                <w:sz w:val="20"/>
                <w:szCs w:val="20"/>
                <w:lang w:val="en-US" w:eastAsia="zh-CN"/>
              </w:rPr>
              <w:t>标志</w:t>
            </w:r>
          </w:p>
        </w:tc>
        <w:tc>
          <w:tcPr>
            <w:tcW w:w="2144" w:type="dxa"/>
            <w:shd w:val="clear" w:color="auto" w:fill="F1F1F1" w:themeFill="background1" w:themeFillShade="F2"/>
            <w:vAlign w:val="center"/>
          </w:tcPr>
          <w:p>
            <w:pPr>
              <w:keepNext/>
              <w:keepLines/>
              <w:spacing w:before="120" w:after="120"/>
              <w:jc w:val="center"/>
              <w:rPr>
                <w:rFonts w:eastAsia="Verdana" w:cs="Times New Roman"/>
                <w:b/>
                <w:bCs/>
                <w:sz w:val="20"/>
                <w:szCs w:val="20"/>
              </w:rPr>
            </w:pPr>
            <w:r>
              <w:rPr>
                <w:rFonts w:hint="eastAsia" w:ascii="微软雅黑" w:hAnsi="微软雅黑" w:eastAsia="微软雅黑" w:cs="微软雅黑"/>
                <w:b/>
                <w:bCs/>
                <w:sz w:val="20"/>
                <w:szCs w:val="20"/>
              </w:rPr>
              <w:t>名称</w:t>
            </w:r>
          </w:p>
        </w:tc>
        <w:tc>
          <w:tcPr>
            <w:tcW w:w="4934" w:type="dxa"/>
            <w:shd w:val="clear" w:color="auto" w:fill="F1F1F1" w:themeFill="background1" w:themeFillShade="F2"/>
            <w:vAlign w:val="center"/>
          </w:tcPr>
          <w:p>
            <w:pPr>
              <w:keepNext/>
              <w:keepLines/>
              <w:spacing w:before="120" w:after="120"/>
              <w:jc w:val="center"/>
              <w:rPr>
                <w:rFonts w:eastAsia="Verdana" w:cs="Times New Roman"/>
                <w:b/>
                <w:bCs/>
                <w:sz w:val="20"/>
                <w:szCs w:val="20"/>
              </w:rPr>
            </w:pPr>
            <w:r>
              <w:rPr>
                <w:rFonts w:hint="eastAsia" w:ascii="微软雅黑" w:hAnsi="微软雅黑" w:eastAsia="微软雅黑" w:cs="微软雅黑"/>
                <w:b/>
                <w:bCs/>
                <w:sz w:val="20"/>
                <w:szCs w:val="20"/>
              </w:rPr>
              <w:t>说明</w:t>
            </w:r>
          </w:p>
        </w:tc>
        <w:tc>
          <w:tcPr>
            <w:tcW w:w="1054" w:type="dxa"/>
            <w:shd w:val="clear" w:color="auto" w:fill="F1F1F1" w:themeFill="background1" w:themeFillShade="F2"/>
            <w:vAlign w:val="center"/>
          </w:tcPr>
          <w:p>
            <w:pPr>
              <w:keepNext/>
              <w:keepLines/>
              <w:spacing w:before="120" w:after="120"/>
              <w:jc w:val="center"/>
              <w:rPr>
                <w:rFonts w:eastAsia="Verdana" w:cs="Times New Roman"/>
                <w:b/>
                <w:bCs/>
                <w:sz w:val="20"/>
                <w:szCs w:val="20"/>
              </w:rPr>
            </w:pPr>
            <w:r>
              <w:rPr>
                <w:rFonts w:hint="eastAsia" w:ascii="微软雅黑" w:hAnsi="微软雅黑" w:eastAsia="微软雅黑" w:cs="微软雅黑"/>
                <w:b/>
                <w:bCs/>
                <w:sz w:val="20"/>
                <w:szCs w:val="20"/>
              </w:rPr>
              <w:t>标准</w:t>
            </w:r>
          </w:p>
        </w:tc>
        <w:tc>
          <w:tcPr>
            <w:tcW w:w="500" w:type="pct"/>
            <w:shd w:val="clear" w:color="auto" w:fill="F1F1F1" w:themeFill="background1" w:themeFillShade="F2"/>
            <w:vAlign w:val="center"/>
          </w:tcPr>
          <w:p>
            <w:pPr>
              <w:spacing w:before="120" w:after="120"/>
              <w:jc w:val="center"/>
              <w:rPr>
                <w:rFonts w:eastAsia="Verdana" w:cs="Times New Roman"/>
                <w:b/>
                <w:bCs/>
                <w:sz w:val="20"/>
                <w:szCs w:val="20"/>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366" w:type="pct"/>
            <w:vAlign w:val="center"/>
          </w:tcPr>
          <w:p>
            <w:pPr>
              <w:spacing w:before="120" w:after="120"/>
              <w:jc w:val="center"/>
              <w:rPr>
                <w:rFonts w:eastAsia="Verdana" w:cs="Times New Roman"/>
                <w:sz w:val="20"/>
                <w:szCs w:val="20"/>
                <w:lang w:eastAsia="en-US"/>
              </w:rPr>
            </w:pPr>
            <w:r>
              <w:rPr>
                <w:rFonts w:eastAsia="Verdana" w:cs="Times New Roman"/>
                <w:sz w:val="20"/>
                <w:szCs w:val="20"/>
                <w:lang w:eastAsia="en-US"/>
              </w:rPr>
              <w:t>S</w:t>
            </w:r>
            <w:r>
              <w:rPr>
                <w:rFonts w:eastAsia="Verdana" w:cs="Times New Roman"/>
                <w:sz w:val="20"/>
                <w:szCs w:val="20"/>
                <w:vertAlign w:val="subscript"/>
                <w:lang w:eastAsia="en-US"/>
              </w:rPr>
              <w:t>UA</w:t>
            </w:r>
            <w:r>
              <w:rPr>
                <w:rFonts w:eastAsia="Verdana" w:cs="Times New Roman"/>
                <w:sz w:val="20"/>
                <w:szCs w:val="20"/>
                <w:lang w:eastAsia="en-US"/>
              </w:rPr>
              <w:t xml:space="preserve"> 1</w:t>
            </w:r>
          </w:p>
        </w:tc>
        <w:tc>
          <w:tcPr>
            <w:tcW w:w="1108" w:type="pct"/>
            <w:vAlign w:val="center"/>
          </w:tcPr>
          <w:p>
            <w:pPr>
              <w:spacing w:before="120" w:after="120"/>
              <w:jc w:val="center"/>
              <w:rPr>
                <w:rFonts w:eastAsia="Verdana" w:cs="Times New Roman"/>
                <w:sz w:val="20"/>
                <w:szCs w:val="20"/>
              </w:rPr>
            </w:pPr>
            <w:r>
              <w:rPr>
                <w:rFonts w:hint="eastAsia" w:ascii="宋体" w:hAnsi="宋体" w:eastAsia="宋体" w:cs="宋体"/>
                <w:sz w:val="20"/>
                <w:szCs w:val="20"/>
              </w:rPr>
              <w:t>每月可用性（</w:t>
            </w:r>
            <w:r>
              <w:rPr>
                <w:rFonts w:eastAsia="宋体" w:cs="Verdana"/>
                <w:sz w:val="20"/>
                <w:szCs w:val="20"/>
              </w:rPr>
              <w:t>%</w:t>
            </w:r>
            <w:r>
              <w:rPr>
                <w:rFonts w:hint="eastAsia" w:ascii="宋体" w:hAnsi="宋体" w:eastAsia="宋体" w:cs="宋体"/>
                <w:sz w:val="20"/>
                <w:szCs w:val="20"/>
              </w:rPr>
              <w:t>）</w:t>
            </w:r>
          </w:p>
        </w:tc>
        <w:tc>
          <w:tcPr>
            <w:tcW w:w="2523" w:type="pct"/>
            <w:vAlign w:val="center"/>
          </w:tcPr>
          <w:p>
            <w:pPr>
              <w:spacing w:before="120" w:after="120"/>
              <w:ind w:left="-110" w:right="-110"/>
              <w:jc w:val="center"/>
              <w:rPr>
                <w:rFonts w:eastAsia="Verdana" w:cs="Times New Roman"/>
                <w:sz w:val="20"/>
                <w:szCs w:val="20"/>
                <w:lang w:eastAsia="zh-CN"/>
              </w:rPr>
            </w:pPr>
            <w:r>
              <w:rPr>
                <w:rFonts w:hint="eastAsia" w:ascii="宋体" w:hAnsi="宋体" w:eastAsia="宋体" w:cs="宋体"/>
                <w:sz w:val="20"/>
                <w:szCs w:val="20"/>
                <w:lang w:eastAsia="zh-CN"/>
              </w:rPr>
              <w:t>每月收到的廓线（至</w:t>
            </w:r>
            <w:r>
              <w:rPr>
                <w:rFonts w:eastAsia="宋体" w:cs="Verdana"/>
                <w:sz w:val="20"/>
                <w:szCs w:val="20"/>
                <w:lang w:eastAsia="zh-CN"/>
              </w:rPr>
              <w:t>30 hPa</w:t>
            </w:r>
            <w:r>
              <w:rPr>
                <w:rFonts w:hint="eastAsia" w:ascii="宋体" w:hAnsi="宋体" w:eastAsia="宋体" w:cs="宋体"/>
                <w:sz w:val="20"/>
                <w:szCs w:val="20"/>
                <w:lang w:eastAsia="zh-CN"/>
              </w:rPr>
              <w:t>）报告数量</w:t>
            </w:r>
            <w:r>
              <w:rPr>
                <w:rStyle w:val="45"/>
                <w:rFonts w:eastAsia="宋体" w:cs="Verdana"/>
                <w:sz w:val="20"/>
                <w:szCs w:val="20"/>
              </w:rPr>
              <w:footnoteReference w:id="6"/>
            </w:r>
            <w:r>
              <w:rPr>
                <w:rFonts w:hint="eastAsia" w:ascii="宋体" w:hAnsi="宋体" w:eastAsia="宋体" w:cs="宋体"/>
                <w:sz w:val="20"/>
                <w:szCs w:val="20"/>
                <w:lang w:eastAsia="zh-CN"/>
              </w:rPr>
              <w:t>/</w:t>
            </w:r>
            <w:r>
              <w:rPr>
                <w:rFonts w:hint="eastAsia" w:ascii="宋体" w:hAnsi="宋体" w:eastAsia="宋体" w:cs="宋体"/>
                <w:sz w:val="20"/>
                <w:szCs w:val="20"/>
                <w:lang w:eastAsia="zh-CN"/>
              </w:rPr>
              <w:br w:type="textWrapping"/>
            </w:r>
            <w:r>
              <w:rPr>
                <w:rFonts w:hint="eastAsia" w:ascii="宋体" w:hAnsi="宋体" w:eastAsia="宋体" w:cs="宋体"/>
                <w:sz w:val="20"/>
                <w:szCs w:val="20"/>
                <w:lang w:eastAsia="zh-CN"/>
              </w:rPr>
              <w:t>（每月天数*</w:t>
            </w:r>
            <w:r>
              <w:rPr>
                <w:rFonts w:eastAsia="宋体" w:cs="Verdana"/>
                <w:sz w:val="20"/>
                <w:szCs w:val="20"/>
                <w:lang w:eastAsia="zh-CN"/>
              </w:rPr>
              <w:t>2</w:t>
            </w:r>
            <w:r>
              <w:rPr>
                <w:rStyle w:val="45"/>
                <w:rFonts w:eastAsia="宋体" w:cs="Verdana"/>
                <w:sz w:val="20"/>
                <w:szCs w:val="20"/>
              </w:rPr>
              <w:footnoteReference w:id="7"/>
            </w:r>
            <w:r>
              <w:rPr>
                <w:rFonts w:hint="eastAsia" w:ascii="宋体" w:hAnsi="宋体" w:eastAsia="宋体" w:cs="宋体"/>
                <w:sz w:val="20"/>
                <w:szCs w:val="20"/>
                <w:lang w:eastAsia="zh-CN"/>
              </w:rPr>
              <w:t>）</w:t>
            </w:r>
          </w:p>
        </w:tc>
        <w:tc>
          <w:tcPr>
            <w:tcW w:w="500" w:type="pct"/>
            <w:vAlign w:val="center"/>
          </w:tcPr>
          <w:p>
            <w:pPr>
              <w:spacing w:before="120" w:after="120"/>
              <w:jc w:val="center"/>
              <w:rPr>
                <w:rFonts w:eastAsia="Verdana" w:cs="Times New Roman"/>
                <w:sz w:val="20"/>
                <w:szCs w:val="20"/>
              </w:rPr>
            </w:pPr>
            <w:r>
              <w:rPr>
                <w:rFonts w:eastAsia="Verdana" w:cs="Times New Roman"/>
                <w:sz w:val="20"/>
                <w:szCs w:val="20"/>
              </w:rPr>
              <w:t>≥ 80%</w:t>
            </w:r>
          </w:p>
        </w:tc>
        <w:tc>
          <w:tcPr>
            <w:tcW w:w="500" w:type="pct"/>
            <w:vAlign w:val="center"/>
          </w:tcPr>
          <w:p>
            <w:pPr>
              <w:spacing w:before="120" w:after="120"/>
              <w:jc w:val="center"/>
              <w:rPr>
                <w:rFonts w:eastAsia="Verdana" w:cs="Times New Roman"/>
                <w:sz w:val="20"/>
                <w:szCs w:val="20"/>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366" w:type="pct"/>
            <w:vAlign w:val="center"/>
          </w:tcPr>
          <w:p>
            <w:pPr>
              <w:spacing w:before="120" w:after="120"/>
              <w:jc w:val="center"/>
              <w:rPr>
                <w:rFonts w:eastAsia="Verdana" w:cs="Times New Roman"/>
                <w:sz w:val="20"/>
                <w:szCs w:val="20"/>
                <w:lang w:eastAsia="en-US"/>
              </w:rPr>
            </w:pPr>
            <w:r>
              <w:rPr>
                <w:rFonts w:eastAsia="Verdana" w:cs="Times New Roman"/>
                <w:sz w:val="20"/>
                <w:szCs w:val="20"/>
                <w:lang w:eastAsia="en-US"/>
              </w:rPr>
              <w:t>S</w:t>
            </w:r>
            <w:r>
              <w:rPr>
                <w:rFonts w:eastAsia="Verdana" w:cs="Times New Roman"/>
                <w:sz w:val="20"/>
                <w:szCs w:val="20"/>
                <w:vertAlign w:val="subscript"/>
                <w:lang w:eastAsia="en-US"/>
              </w:rPr>
              <w:t>UA</w:t>
            </w:r>
            <w:r>
              <w:rPr>
                <w:rFonts w:eastAsia="Verdana" w:cs="Times New Roman"/>
                <w:sz w:val="20"/>
                <w:szCs w:val="20"/>
                <w:lang w:eastAsia="en-US"/>
              </w:rPr>
              <w:t xml:space="preserve"> 2</w:t>
            </w:r>
          </w:p>
        </w:tc>
        <w:tc>
          <w:tcPr>
            <w:tcW w:w="1108" w:type="pct"/>
            <w:vAlign w:val="center"/>
          </w:tcPr>
          <w:p>
            <w:pPr>
              <w:spacing w:before="120" w:after="120"/>
              <w:jc w:val="center"/>
              <w:rPr>
                <w:rFonts w:eastAsia="宋体" w:cs="Times New Roman"/>
                <w:sz w:val="20"/>
                <w:szCs w:val="20"/>
                <w:lang w:eastAsia="zh-CN"/>
              </w:rPr>
            </w:pPr>
            <w:r>
              <w:rPr>
                <w:rFonts w:hint="eastAsia" w:ascii="宋体" w:hAnsi="宋体" w:eastAsia="宋体" w:cs="宋体"/>
                <w:sz w:val="20"/>
                <w:szCs w:val="20"/>
              </w:rPr>
              <w:t>垂直分辨率</w:t>
            </w:r>
            <w:r>
              <w:rPr>
                <w:rStyle w:val="45"/>
                <w:rFonts w:eastAsia="Verdana" w:cs="Times New Roman"/>
                <w:sz w:val="20"/>
                <w:szCs w:val="20"/>
              </w:rPr>
              <w:footnoteReference w:id="8"/>
            </w:r>
            <w:r>
              <w:rPr>
                <w:rFonts w:hint="eastAsia" w:ascii="宋体" w:hAnsi="宋体" w:eastAsia="宋体" w:cs="宋体"/>
                <w:sz w:val="20"/>
                <w:szCs w:val="20"/>
                <w:lang w:eastAsia="zh-CN"/>
              </w:rPr>
              <w:t>（</w:t>
            </w:r>
            <w:r>
              <w:rPr>
                <w:rFonts w:eastAsia="Verdana" w:cs="Times New Roman"/>
                <w:sz w:val="20"/>
                <w:szCs w:val="20"/>
              </w:rPr>
              <w:t>Y/N</w:t>
            </w:r>
            <w:r>
              <w:rPr>
                <w:rFonts w:hint="eastAsia" w:ascii="宋体" w:hAnsi="宋体" w:eastAsia="宋体" w:cs="宋体"/>
                <w:sz w:val="20"/>
                <w:szCs w:val="20"/>
                <w:lang w:eastAsia="zh-CN"/>
              </w:rPr>
              <w:t>）</w:t>
            </w:r>
          </w:p>
        </w:tc>
        <w:tc>
          <w:tcPr>
            <w:tcW w:w="2523" w:type="pct"/>
            <w:vAlign w:val="center"/>
          </w:tcPr>
          <w:p>
            <w:pPr>
              <w:spacing w:before="120" w:after="120"/>
              <w:jc w:val="center"/>
              <w:rPr>
                <w:rFonts w:eastAsia="Verdana" w:cs="Times New Roman"/>
                <w:sz w:val="20"/>
                <w:szCs w:val="20"/>
              </w:rPr>
            </w:pPr>
            <w:r>
              <w:rPr>
                <w:rFonts w:hint="eastAsia" w:ascii="宋体" w:hAnsi="宋体" w:eastAsia="宋体" w:cs="宋体"/>
                <w:sz w:val="20"/>
                <w:szCs w:val="20"/>
              </w:rPr>
              <w:t>垂直分辨率至少为</w:t>
            </w:r>
            <w:r>
              <w:rPr>
                <w:rFonts w:eastAsia="Verdana" w:cs="Times New Roman"/>
                <w:sz w:val="20"/>
                <w:szCs w:val="20"/>
              </w:rPr>
              <w:t>100 m</w:t>
            </w:r>
          </w:p>
        </w:tc>
        <w:tc>
          <w:tcPr>
            <w:tcW w:w="500" w:type="pct"/>
            <w:vAlign w:val="center"/>
          </w:tcPr>
          <w:p>
            <w:pPr>
              <w:spacing w:before="120" w:after="120"/>
              <w:jc w:val="center"/>
              <w:rPr>
                <w:rFonts w:eastAsia="Verdana" w:cs="Times New Roman"/>
                <w:sz w:val="20"/>
                <w:szCs w:val="20"/>
              </w:rPr>
            </w:pPr>
            <w:r>
              <w:rPr>
                <w:rFonts w:hint="eastAsia" w:ascii="宋体" w:hAnsi="宋体" w:eastAsia="宋体" w:cs="宋体"/>
                <w:sz w:val="20"/>
                <w:szCs w:val="20"/>
              </w:rPr>
              <w:t>是</w:t>
            </w:r>
          </w:p>
        </w:tc>
        <w:tc>
          <w:tcPr>
            <w:tcW w:w="500" w:type="pct"/>
            <w:vAlign w:val="center"/>
          </w:tcPr>
          <w:p>
            <w:pPr>
              <w:spacing w:before="120" w:after="120"/>
              <w:jc w:val="center"/>
              <w:rPr>
                <w:rFonts w:eastAsia="Verdana" w:cs="Times New Roman"/>
                <w:sz w:val="20"/>
                <w:szCs w:val="20"/>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366" w:type="pct"/>
            <w:vAlign w:val="center"/>
          </w:tcPr>
          <w:p>
            <w:pPr>
              <w:spacing w:before="120" w:after="120"/>
              <w:jc w:val="center"/>
              <w:rPr>
                <w:rFonts w:eastAsia="Verdana" w:cs="Times New Roman"/>
                <w:sz w:val="20"/>
                <w:szCs w:val="20"/>
                <w:lang w:eastAsia="en-US"/>
              </w:rPr>
            </w:pPr>
            <w:r>
              <w:rPr>
                <w:rFonts w:eastAsia="Verdana" w:cs="Times New Roman"/>
                <w:sz w:val="20"/>
                <w:szCs w:val="20"/>
                <w:lang w:eastAsia="en-US"/>
              </w:rPr>
              <w:t>S</w:t>
            </w:r>
            <w:r>
              <w:rPr>
                <w:rFonts w:eastAsia="Verdana" w:cs="Times New Roman"/>
                <w:sz w:val="20"/>
                <w:szCs w:val="20"/>
                <w:vertAlign w:val="subscript"/>
                <w:lang w:eastAsia="en-US"/>
              </w:rPr>
              <w:t>UA</w:t>
            </w:r>
            <w:r>
              <w:rPr>
                <w:rFonts w:eastAsia="Verdana" w:cs="Times New Roman"/>
                <w:sz w:val="20"/>
                <w:szCs w:val="20"/>
                <w:lang w:eastAsia="en-US"/>
              </w:rPr>
              <w:t xml:space="preserve"> 3</w:t>
            </w:r>
          </w:p>
        </w:tc>
        <w:tc>
          <w:tcPr>
            <w:tcW w:w="2184" w:type="dxa"/>
            <w:vAlign w:val="center"/>
          </w:tcPr>
          <w:p>
            <w:pPr>
              <w:keepNext/>
              <w:keepLines/>
              <w:spacing w:before="120" w:after="120"/>
              <w:jc w:val="center"/>
              <w:rPr>
                <w:rFonts w:eastAsia="Verdana" w:cs="Times New Roman"/>
                <w:sz w:val="20"/>
                <w:szCs w:val="20"/>
              </w:rPr>
            </w:pPr>
            <w:r>
              <w:rPr>
                <w:rFonts w:hint="eastAsia" w:ascii="宋体" w:hAnsi="宋体" w:eastAsia="宋体" w:cs="宋体"/>
                <w:sz w:val="20"/>
                <w:szCs w:val="20"/>
              </w:rPr>
              <w:t>及时性（</w:t>
            </w:r>
            <w:r>
              <w:rPr>
                <w:rFonts w:eastAsia="宋体" w:cs="Verdana"/>
                <w:sz w:val="20"/>
                <w:szCs w:val="20"/>
              </w:rPr>
              <w:t>%</w:t>
            </w:r>
            <w:r>
              <w:rPr>
                <w:rFonts w:hint="eastAsia" w:ascii="宋体" w:hAnsi="宋体" w:eastAsia="宋体" w:cs="宋体"/>
                <w:sz w:val="20"/>
                <w:szCs w:val="20"/>
              </w:rPr>
              <w:t>）</w:t>
            </w:r>
          </w:p>
        </w:tc>
        <w:tc>
          <w:tcPr>
            <w:tcW w:w="2523" w:type="pct"/>
            <w:vAlign w:val="center"/>
          </w:tcPr>
          <w:p>
            <w:pPr>
              <w:spacing w:before="120" w:after="120"/>
              <w:jc w:val="center"/>
              <w:rPr>
                <w:rFonts w:eastAsia="宋体" w:cs="Times New Roman"/>
                <w:sz w:val="20"/>
                <w:szCs w:val="20"/>
                <w:lang w:eastAsia="zh-CN"/>
              </w:rPr>
            </w:pPr>
            <w:r>
              <w:rPr>
                <w:rFonts w:hint="eastAsia" w:ascii="宋体" w:hAnsi="宋体" w:eastAsia="宋体" w:cs="宋体"/>
                <w:sz w:val="20"/>
                <w:szCs w:val="20"/>
                <w:lang w:eastAsia="zh-CN"/>
              </w:rPr>
              <w:t>延迟的</w:t>
            </w:r>
            <w:r>
              <w:rPr>
                <w:rFonts w:hint="eastAsia" w:eastAsia="Verdana" w:cs="Times New Roman"/>
                <w:sz w:val="20"/>
                <w:szCs w:val="20"/>
                <w:lang w:eastAsia="zh-CN"/>
              </w:rPr>
              <w:t>BUFR/TEMP</w:t>
            </w:r>
            <w:r>
              <w:rPr>
                <w:rFonts w:hint="eastAsia" w:ascii="宋体" w:hAnsi="宋体" w:eastAsia="宋体" w:cs="宋体"/>
                <w:sz w:val="20"/>
                <w:szCs w:val="20"/>
                <w:lang w:eastAsia="zh-CN"/>
              </w:rPr>
              <w:t>报告数量</w:t>
            </w:r>
            <w:r>
              <w:rPr>
                <w:sz w:val="20"/>
                <w:szCs w:val="20"/>
                <w:vertAlign w:val="superscript"/>
              </w:rPr>
              <w:footnoteReference w:id="9"/>
            </w:r>
            <w:r>
              <w:rPr>
                <w:rFonts w:hint="eastAsia" w:ascii="宋体" w:hAnsi="宋体" w:eastAsia="宋体" w:cs="宋体"/>
                <w:sz w:val="20"/>
                <w:szCs w:val="20"/>
                <w:lang w:eastAsia="zh-CN"/>
              </w:rPr>
              <w:t>/</w:t>
            </w:r>
            <w:r>
              <w:rPr>
                <w:rFonts w:eastAsia="Verdana" w:cs="Times New Roman"/>
                <w:sz w:val="20"/>
                <w:szCs w:val="20"/>
                <w:lang w:eastAsia="zh-CN"/>
              </w:rPr>
              <w:br w:type="textWrapping"/>
            </w:r>
            <w:r>
              <w:rPr>
                <w:rFonts w:hint="eastAsia" w:ascii="宋体" w:hAnsi="宋体" w:eastAsia="宋体" w:cs="宋体"/>
                <w:sz w:val="20"/>
                <w:szCs w:val="20"/>
                <w:lang w:eastAsia="zh-CN"/>
              </w:rPr>
              <w:t>（每月天数*</w:t>
            </w:r>
            <w:r>
              <w:rPr>
                <w:rFonts w:eastAsia="宋体" w:cs="Verdana"/>
                <w:sz w:val="20"/>
                <w:szCs w:val="20"/>
                <w:lang w:eastAsia="zh-CN"/>
              </w:rPr>
              <w:t>2</w:t>
            </w:r>
            <w:r>
              <w:rPr>
                <w:rFonts w:hint="eastAsia" w:ascii="宋体" w:hAnsi="宋体" w:eastAsia="宋体" w:cs="宋体"/>
                <w:sz w:val="20"/>
                <w:szCs w:val="20"/>
                <w:lang w:eastAsia="zh-CN"/>
              </w:rPr>
              <w:t>）</w:t>
            </w:r>
          </w:p>
        </w:tc>
        <w:tc>
          <w:tcPr>
            <w:tcW w:w="500" w:type="pct"/>
            <w:vAlign w:val="center"/>
          </w:tcPr>
          <w:p>
            <w:pPr>
              <w:spacing w:before="120" w:after="120"/>
              <w:jc w:val="center"/>
              <w:rPr>
                <w:rFonts w:eastAsia="Verdana" w:cs="Times New Roman"/>
                <w:sz w:val="20"/>
                <w:szCs w:val="20"/>
              </w:rPr>
            </w:pPr>
            <w:r>
              <w:rPr>
                <w:rFonts w:eastAsia="Verdana" w:cs="Times New Roman"/>
                <w:sz w:val="20"/>
                <w:szCs w:val="20"/>
              </w:rPr>
              <w:t>&lt; 5%</w:t>
            </w:r>
          </w:p>
        </w:tc>
        <w:tc>
          <w:tcPr>
            <w:tcW w:w="500" w:type="pct"/>
            <w:vAlign w:val="center"/>
          </w:tcPr>
          <w:p>
            <w:pPr>
              <w:spacing w:before="120" w:after="120"/>
              <w:jc w:val="center"/>
              <w:rPr>
                <w:rFonts w:eastAsia="Verdana" w:cs="Times New Roman"/>
                <w:sz w:val="20"/>
                <w:szCs w:val="20"/>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366" w:type="pct"/>
            <w:vAlign w:val="center"/>
          </w:tcPr>
          <w:p>
            <w:pPr>
              <w:spacing w:before="120" w:after="120"/>
              <w:jc w:val="center"/>
              <w:rPr>
                <w:rFonts w:eastAsia="Verdana" w:cs="Times New Roman"/>
                <w:sz w:val="20"/>
                <w:szCs w:val="20"/>
                <w:lang w:eastAsia="en-US"/>
              </w:rPr>
            </w:pPr>
            <w:r>
              <w:rPr>
                <w:rFonts w:eastAsia="Verdana" w:cs="Times New Roman"/>
                <w:sz w:val="20"/>
                <w:szCs w:val="20"/>
                <w:lang w:eastAsia="en-US"/>
              </w:rPr>
              <w:t>S</w:t>
            </w:r>
            <w:r>
              <w:rPr>
                <w:rFonts w:eastAsia="Verdana" w:cs="Times New Roman"/>
                <w:sz w:val="20"/>
                <w:szCs w:val="20"/>
                <w:vertAlign w:val="subscript"/>
                <w:lang w:eastAsia="en-US"/>
              </w:rPr>
              <w:t>UA</w:t>
            </w:r>
            <w:r>
              <w:rPr>
                <w:rFonts w:eastAsia="Verdana" w:cs="Times New Roman"/>
                <w:sz w:val="20"/>
                <w:szCs w:val="20"/>
                <w:lang w:eastAsia="en-US"/>
              </w:rPr>
              <w:t xml:space="preserve"> 4</w:t>
            </w:r>
          </w:p>
        </w:tc>
        <w:tc>
          <w:tcPr>
            <w:tcW w:w="2184" w:type="dxa"/>
            <w:vAlign w:val="center"/>
          </w:tcPr>
          <w:p>
            <w:pPr>
              <w:spacing w:before="120" w:after="120"/>
              <w:jc w:val="center"/>
              <w:rPr>
                <w:rFonts w:eastAsia="Verdana" w:cs="Times New Roman"/>
                <w:sz w:val="20"/>
                <w:szCs w:val="20"/>
              </w:rPr>
            </w:pPr>
            <w:r>
              <w:rPr>
                <w:rFonts w:hint="eastAsia" w:ascii="宋体" w:hAnsi="宋体" w:eastAsia="宋体" w:cs="宋体"/>
                <w:sz w:val="20"/>
                <w:szCs w:val="20"/>
              </w:rPr>
              <w:t>月度质量（</w:t>
            </w:r>
            <w:r>
              <w:rPr>
                <w:rFonts w:eastAsia="宋体" w:cs="Verdana"/>
                <w:sz w:val="20"/>
                <w:szCs w:val="20"/>
              </w:rPr>
              <w:t>%</w:t>
            </w:r>
            <w:r>
              <w:rPr>
                <w:rFonts w:hint="eastAsia" w:ascii="宋体" w:hAnsi="宋体" w:eastAsia="宋体" w:cs="宋体"/>
                <w:sz w:val="20"/>
                <w:szCs w:val="20"/>
              </w:rPr>
              <w:t>）</w:t>
            </w:r>
          </w:p>
        </w:tc>
        <w:tc>
          <w:tcPr>
            <w:tcW w:w="2523" w:type="pct"/>
            <w:vAlign w:val="center"/>
          </w:tcPr>
          <w:p>
            <w:pPr>
              <w:spacing w:before="120" w:after="120"/>
              <w:ind w:left="-111" w:right="-105"/>
              <w:jc w:val="center"/>
              <w:rPr>
                <w:rFonts w:eastAsia="Verdana" w:cs="Times New Roman"/>
                <w:sz w:val="20"/>
                <w:szCs w:val="20"/>
                <w:lang w:eastAsia="zh-CN"/>
              </w:rPr>
            </w:pPr>
            <w:r>
              <w:rPr>
                <w:rFonts w:hint="eastAsia" w:ascii="宋体" w:hAnsi="宋体" w:eastAsia="宋体" w:cs="宋体"/>
                <w:sz w:val="20"/>
                <w:szCs w:val="20"/>
                <w:lang w:val="en-US" w:eastAsia="zh-CN"/>
              </w:rPr>
              <w:t>每月</w:t>
            </w:r>
            <w:r>
              <w:rPr>
                <w:rFonts w:hint="eastAsia" w:ascii="宋体" w:hAnsi="宋体" w:eastAsia="宋体" w:cs="宋体"/>
                <w:sz w:val="20"/>
                <w:szCs w:val="20"/>
                <w:lang w:eastAsia="zh-CN"/>
              </w:rPr>
              <w:t>驳回的报告数量</w:t>
            </w:r>
            <w:r>
              <w:rPr>
                <w:sz w:val="20"/>
                <w:szCs w:val="20"/>
                <w:vertAlign w:val="superscript"/>
              </w:rPr>
              <w:footnoteReference w:id="10"/>
            </w:r>
            <w:r>
              <w:rPr>
                <w:rFonts w:eastAsia="Verdana" w:cs="Times New Roman"/>
                <w:sz w:val="20"/>
                <w:szCs w:val="20"/>
                <w:lang w:eastAsia="zh-CN"/>
              </w:rPr>
              <w:t xml:space="preserve"> /</w:t>
            </w:r>
            <w:r>
              <w:rPr>
                <w:rFonts w:eastAsia="Verdana" w:cs="Times New Roman"/>
                <w:sz w:val="20"/>
                <w:szCs w:val="20"/>
                <w:lang w:eastAsia="zh-CN"/>
              </w:rPr>
              <w:br w:type="textWrapping"/>
            </w:r>
            <w:r>
              <w:rPr>
                <w:rFonts w:hint="eastAsia" w:ascii="宋体" w:hAnsi="宋体" w:eastAsia="宋体" w:cs="宋体"/>
                <w:sz w:val="20"/>
                <w:szCs w:val="20"/>
                <w:lang w:eastAsia="zh-CN"/>
              </w:rPr>
              <w:t>（每月天数*</w:t>
            </w:r>
            <w:r>
              <w:rPr>
                <w:rFonts w:eastAsia="宋体" w:cs="Verdana"/>
                <w:sz w:val="20"/>
                <w:szCs w:val="20"/>
                <w:lang w:eastAsia="zh-CN"/>
              </w:rPr>
              <w:t>2</w:t>
            </w:r>
            <w:r>
              <w:rPr>
                <w:rFonts w:hint="eastAsia" w:ascii="宋体" w:hAnsi="宋体" w:eastAsia="宋体" w:cs="宋体"/>
                <w:sz w:val="20"/>
                <w:szCs w:val="20"/>
                <w:lang w:eastAsia="zh-CN"/>
              </w:rPr>
              <w:t>）</w:t>
            </w:r>
          </w:p>
        </w:tc>
        <w:tc>
          <w:tcPr>
            <w:tcW w:w="500" w:type="pct"/>
            <w:vAlign w:val="center"/>
          </w:tcPr>
          <w:p>
            <w:pPr>
              <w:spacing w:before="120" w:after="120"/>
              <w:jc w:val="center"/>
              <w:rPr>
                <w:rFonts w:eastAsia="Verdana" w:cs="Times New Roman"/>
                <w:sz w:val="20"/>
                <w:szCs w:val="20"/>
              </w:rPr>
            </w:pPr>
            <w:r>
              <w:rPr>
                <w:rFonts w:eastAsia="Verdana" w:cs="Times New Roman"/>
                <w:sz w:val="20"/>
                <w:szCs w:val="20"/>
              </w:rPr>
              <w:t>&lt; 5%</w:t>
            </w:r>
          </w:p>
        </w:tc>
        <w:tc>
          <w:tcPr>
            <w:tcW w:w="500" w:type="pct"/>
            <w:vAlign w:val="center"/>
          </w:tcPr>
          <w:p>
            <w:pPr>
              <w:spacing w:before="120" w:after="120"/>
              <w:jc w:val="center"/>
              <w:rPr>
                <w:rFonts w:eastAsia="Verdana" w:cs="Times New Roman"/>
                <w:sz w:val="20"/>
                <w:szCs w:val="20"/>
              </w:rPr>
            </w:pPr>
          </w:p>
        </w:tc>
      </w:tr>
    </w:tbl>
    <w:p>
      <w:pPr>
        <w:pStyle w:val="2"/>
        <w:keepNext/>
        <w:keepLines/>
        <w:spacing w:before="240"/>
      </w:pPr>
      <w:r>
        <w:rPr>
          <w:b/>
          <w:bCs/>
        </w:rPr>
        <w:t>4.2.2</w:t>
      </w:r>
      <w:r>
        <w:t xml:space="preserve"> </w:t>
      </w:r>
      <w:r>
        <w:tab/>
      </w:r>
      <w:r>
        <w:rPr>
          <w:b/>
          <w:bCs/>
        </w:rPr>
        <w:t>GBON</w:t>
      </w:r>
      <w:r>
        <w:rPr>
          <w:rFonts w:hint="eastAsia" w:ascii="微软雅黑" w:hAnsi="微软雅黑" w:eastAsia="微软雅黑" w:cs="微软雅黑"/>
          <w:b/>
          <w:bCs/>
        </w:rPr>
        <w:t>台站合规评估</w:t>
      </w:r>
    </w:p>
    <w:p>
      <w:pPr>
        <w:keepNext/>
        <w:keepLines/>
        <w:spacing w:after="240" w:line="240" w:lineRule="exact"/>
        <w:rPr>
          <w:rFonts w:ascii="宋体" w:hAnsi="宋体" w:eastAsia="宋体" w:cs="宋体"/>
          <w:lang w:eastAsia="zh-CN"/>
        </w:rPr>
      </w:pPr>
      <w:r>
        <w:rPr>
          <w:rFonts w:hint="eastAsia" w:ascii="宋体" w:hAnsi="宋体" w:eastAsia="宋体" w:cs="宋体"/>
          <w:lang w:eastAsia="zh-CN"/>
        </w:rPr>
        <w:t>在</w:t>
      </w:r>
      <w:r>
        <w:rPr>
          <w:rFonts w:eastAsia="宋体" w:cs="Verdana"/>
          <w:lang w:eastAsia="zh-CN"/>
        </w:rPr>
        <w:t>GBON</w:t>
      </w:r>
      <w:r>
        <w:rPr>
          <w:rFonts w:hint="eastAsia" w:ascii="宋体" w:hAnsi="宋体" w:eastAsia="宋体" w:cs="宋体"/>
          <w:lang w:eastAsia="zh-CN"/>
        </w:rPr>
        <w:t>的初始阶段，上一节中的合规标准子集仅适用于对地面台站和高空陆地台站进行评估。</w:t>
      </w:r>
    </w:p>
    <w:p>
      <w:pPr>
        <w:spacing w:after="240" w:line="240" w:lineRule="exact"/>
        <w:rPr>
          <w:rFonts w:ascii="宋体" w:hAnsi="宋体" w:eastAsia="宋体" w:cs="宋体"/>
          <w:lang w:eastAsia="zh-CN"/>
        </w:rPr>
      </w:pPr>
      <w:r>
        <w:rPr>
          <w:rFonts w:eastAsia="宋体" w:cs="Verdana"/>
        </w:rPr>
        <w:t>GBON</w:t>
      </w:r>
      <w:r>
        <w:rPr>
          <w:rFonts w:hint="eastAsia" w:ascii="宋体" w:hAnsi="宋体" w:eastAsia="宋体" w:cs="宋体"/>
        </w:rPr>
        <w:t>台站必须在</w:t>
      </w:r>
      <w:r>
        <w:fldChar w:fldCharType="begin"/>
      </w:r>
      <w:r>
        <w:rPr>
          <w:rFonts w:eastAsia="宋体" w:cs="Verdana"/>
        </w:rPr>
        <w:instrText xml:space="preserve"> HYPERLINK "https://oscar.wmo.int/surface/" </w:instrText>
      </w:r>
      <w:r>
        <w:fldChar w:fldCharType="separate"/>
      </w:r>
      <w:r>
        <w:rPr>
          <w:rStyle w:val="43"/>
          <w:rFonts w:hint="eastAsia" w:eastAsia="宋体" w:cs="Verdana"/>
          <w:lang w:eastAsia="zh-CN"/>
        </w:rPr>
        <w:t>OSCAR/地表</w:t>
      </w:r>
      <w:r>
        <w:rPr>
          <w:rStyle w:val="43"/>
          <w:rFonts w:eastAsia="宋体" w:cs="Verdana"/>
        </w:rPr>
        <w:fldChar w:fldCharType="end"/>
      </w:r>
      <w:r>
        <w:rPr>
          <w:rFonts w:hint="eastAsia" w:ascii="宋体" w:hAnsi="宋体" w:eastAsia="宋体" w:cs="宋体"/>
        </w:rPr>
        <w:t>中注册，并注明其</w:t>
      </w:r>
      <w:r>
        <w:rPr>
          <w:rFonts w:hint="eastAsia" w:ascii="宋体" w:hAnsi="宋体" w:eastAsia="宋体" w:cs="宋体"/>
          <w:lang w:eastAsia="zh-CN"/>
        </w:rPr>
        <w:t>与</w:t>
      </w:r>
      <w:r>
        <w:rPr>
          <w:rFonts w:eastAsia="宋体" w:cs="Verdana"/>
        </w:rPr>
        <w:t>GBON</w:t>
      </w:r>
      <w:r>
        <w:rPr>
          <w:rFonts w:hint="eastAsia" w:ascii="宋体" w:hAnsi="宋体" w:eastAsia="宋体" w:cs="宋体"/>
        </w:rPr>
        <w:t>的从属关系</w:t>
      </w:r>
      <w:r>
        <w:rPr>
          <w:rFonts w:hint="eastAsia" w:ascii="宋体" w:hAnsi="宋体" w:eastAsia="宋体" w:cs="宋体"/>
          <w:lang w:eastAsia="zh-CN"/>
        </w:rPr>
        <w:t>，才能接受合规评估</w:t>
      </w:r>
      <w:r>
        <w:rPr>
          <w:rFonts w:hint="eastAsia" w:ascii="宋体" w:hAnsi="宋体" w:eastAsia="宋体" w:cs="宋体"/>
        </w:rPr>
        <w:t>。</w:t>
      </w:r>
      <w:r>
        <w:rPr>
          <w:rFonts w:hint="eastAsia" w:ascii="宋体" w:hAnsi="宋体" w:eastAsia="宋体" w:cs="宋体"/>
          <w:lang w:eastAsia="zh-CN"/>
        </w:rPr>
        <w:t>如果台站不符合这一要求，则将被评定为不合规。</w:t>
      </w:r>
    </w:p>
    <w:p>
      <w:pPr>
        <w:pStyle w:val="2"/>
        <w:rPr>
          <w:rFonts w:ascii="宋体" w:hAnsi="宋体" w:eastAsia="宋体" w:cs="宋体"/>
          <w:szCs w:val="20"/>
          <w:lang w:eastAsia="zh-CN"/>
        </w:rPr>
      </w:pPr>
      <w:r>
        <w:rPr>
          <w:rFonts w:hint="eastAsia" w:ascii="宋体" w:hAnsi="宋体" w:eastAsia="宋体" w:cs="宋体"/>
          <w:szCs w:val="20"/>
          <w:lang w:eastAsia="zh-CN"/>
        </w:rPr>
        <w:t>目前，如果至少在测量大气压力方面符合表</w:t>
      </w:r>
      <w:r>
        <w:rPr>
          <w:rFonts w:eastAsia="宋体" w:cs="Verdana"/>
          <w:szCs w:val="20"/>
          <w:lang w:eastAsia="zh-CN"/>
        </w:rPr>
        <w:t>4.1</w:t>
      </w:r>
      <w:r>
        <w:rPr>
          <w:rFonts w:hint="eastAsia" w:ascii="宋体" w:hAnsi="宋体" w:eastAsia="宋体" w:cs="宋体"/>
          <w:szCs w:val="20"/>
          <w:lang w:eastAsia="zh-CN"/>
        </w:rPr>
        <w:t>中的所有三项标准（</w:t>
      </w:r>
      <w:r>
        <w:rPr>
          <w:rFonts w:eastAsia="宋体" w:cs="Verdana"/>
          <w:szCs w:val="20"/>
          <w:lang w:eastAsia="zh-CN"/>
        </w:rPr>
        <w:t>S</w:t>
      </w:r>
      <w:r>
        <w:rPr>
          <w:rFonts w:eastAsia="宋体" w:cs="Verdana"/>
          <w:szCs w:val="20"/>
          <w:vertAlign w:val="subscript"/>
          <w:lang w:eastAsia="zh-CN"/>
        </w:rPr>
        <w:t>SL</w:t>
      </w:r>
      <w:r>
        <w:rPr>
          <w:rFonts w:eastAsia="宋体" w:cs="Verdana"/>
          <w:szCs w:val="20"/>
          <w:lang w:eastAsia="zh-CN"/>
        </w:rPr>
        <w:t xml:space="preserve"> 1 - S</w:t>
      </w:r>
      <w:r>
        <w:rPr>
          <w:rFonts w:eastAsia="宋体" w:cs="Verdana"/>
          <w:szCs w:val="20"/>
          <w:vertAlign w:val="subscript"/>
          <w:lang w:eastAsia="zh-CN"/>
        </w:rPr>
        <w:t>SL</w:t>
      </w:r>
      <w:r>
        <w:rPr>
          <w:rFonts w:eastAsia="宋体" w:cs="Verdana"/>
          <w:szCs w:val="20"/>
          <w:lang w:eastAsia="zh-CN"/>
        </w:rPr>
        <w:t xml:space="preserve"> 3</w:t>
      </w:r>
      <w:r>
        <w:rPr>
          <w:rFonts w:hint="eastAsia" w:ascii="宋体" w:hAnsi="宋体" w:eastAsia="宋体" w:cs="宋体"/>
          <w:szCs w:val="20"/>
          <w:lang w:eastAsia="zh-CN"/>
        </w:rPr>
        <w:t>），则认为地面观测站/平台符合</w:t>
      </w:r>
      <w:r>
        <w:rPr>
          <w:rFonts w:eastAsia="宋体" w:cs="Verdana"/>
          <w:szCs w:val="20"/>
          <w:lang w:eastAsia="zh-CN"/>
        </w:rPr>
        <w:t>GBON</w:t>
      </w:r>
      <w:r>
        <w:rPr>
          <w:rFonts w:hint="eastAsia" w:ascii="宋体" w:hAnsi="宋体" w:eastAsia="宋体" w:cs="宋体"/>
          <w:szCs w:val="20"/>
          <w:lang w:eastAsia="zh-CN"/>
        </w:rPr>
        <w:t>要求。</w:t>
      </w:r>
    </w:p>
    <w:p>
      <w:pPr>
        <w:pStyle w:val="2"/>
        <w:rPr>
          <w:rFonts w:ascii="宋体" w:hAnsi="宋体" w:eastAsia="宋体" w:cs="宋体"/>
          <w:lang w:eastAsia="zh-CN"/>
        </w:rPr>
      </w:pPr>
      <w:r>
        <w:rPr>
          <w:rFonts w:hint="eastAsia" w:ascii="宋体" w:hAnsi="宋体" w:eastAsia="宋体" w:cs="宋体"/>
          <w:lang w:eastAsia="zh-CN"/>
        </w:rPr>
        <w:t>目前，如果至少在测量气温和水平风时</w:t>
      </w:r>
      <w:r>
        <w:rPr>
          <w:rFonts w:hint="eastAsia" w:ascii="宋体" w:hAnsi="宋体" w:eastAsia="宋体" w:cs="宋体"/>
          <w:szCs w:val="20"/>
          <w:lang w:eastAsia="zh-CN"/>
        </w:rPr>
        <w:t>符合</w:t>
      </w:r>
      <w:r>
        <w:rPr>
          <w:rFonts w:hint="eastAsia" w:ascii="宋体" w:hAnsi="宋体" w:eastAsia="宋体" w:cs="宋体"/>
          <w:lang w:eastAsia="zh-CN"/>
        </w:rPr>
        <w:t>表</w:t>
      </w:r>
      <w:r>
        <w:rPr>
          <w:rFonts w:eastAsia="宋体" w:cs="Verdana"/>
          <w:lang w:eastAsia="zh-CN"/>
        </w:rPr>
        <w:t>4.2</w:t>
      </w:r>
      <w:r>
        <w:rPr>
          <w:rFonts w:hint="eastAsia" w:ascii="宋体" w:hAnsi="宋体" w:eastAsia="宋体" w:cs="宋体"/>
          <w:lang w:eastAsia="zh-CN"/>
        </w:rPr>
        <w:t>中的所有四</w:t>
      </w:r>
      <w:r>
        <w:rPr>
          <w:rFonts w:hint="eastAsia" w:ascii="宋体" w:hAnsi="宋体" w:eastAsia="宋体" w:cs="宋体"/>
          <w:szCs w:val="20"/>
          <w:lang w:eastAsia="zh-CN"/>
        </w:rPr>
        <w:t>项</w:t>
      </w:r>
      <w:r>
        <w:rPr>
          <w:rFonts w:hint="eastAsia" w:ascii="宋体" w:hAnsi="宋体" w:eastAsia="宋体" w:cs="宋体"/>
          <w:lang w:eastAsia="zh-CN"/>
        </w:rPr>
        <w:t>标准（</w:t>
      </w:r>
      <w:r>
        <w:rPr>
          <w:rFonts w:eastAsia="宋体" w:cs="Verdana"/>
          <w:lang w:eastAsia="zh-CN"/>
        </w:rPr>
        <w:t>S</w:t>
      </w:r>
      <w:r>
        <w:rPr>
          <w:rFonts w:eastAsia="宋体" w:cs="Verdana"/>
          <w:vertAlign w:val="subscript"/>
          <w:lang w:eastAsia="zh-CN"/>
        </w:rPr>
        <w:t>UA</w:t>
      </w:r>
      <w:r>
        <w:rPr>
          <w:rFonts w:eastAsia="宋体" w:cs="Verdana"/>
          <w:lang w:eastAsia="zh-CN"/>
        </w:rPr>
        <w:t xml:space="preserve"> 1 - S</w:t>
      </w:r>
      <w:r>
        <w:rPr>
          <w:rFonts w:eastAsia="宋体" w:cs="Verdana"/>
          <w:vertAlign w:val="subscript"/>
          <w:lang w:eastAsia="zh-CN"/>
        </w:rPr>
        <w:t>UA</w:t>
      </w:r>
      <w:r>
        <w:rPr>
          <w:rFonts w:eastAsia="宋体" w:cs="Verdana"/>
          <w:lang w:eastAsia="zh-CN"/>
        </w:rPr>
        <w:t xml:space="preserve"> 4</w:t>
      </w:r>
      <w:r>
        <w:rPr>
          <w:rFonts w:hint="eastAsia" w:ascii="宋体" w:hAnsi="宋体" w:eastAsia="宋体" w:cs="宋体"/>
          <w:lang w:eastAsia="zh-CN"/>
        </w:rPr>
        <w:t>），则认为高空陆地观测站/平台站符合</w:t>
      </w:r>
      <w:r>
        <w:rPr>
          <w:rFonts w:eastAsia="宋体" w:cs="Verdana"/>
          <w:lang w:eastAsia="zh-CN"/>
        </w:rPr>
        <w:t>GBON</w:t>
      </w:r>
      <w:r>
        <w:rPr>
          <w:rFonts w:hint="eastAsia" w:ascii="宋体" w:hAnsi="宋体" w:eastAsia="宋体" w:cs="宋体"/>
          <w:lang w:eastAsia="zh-CN"/>
        </w:rPr>
        <w:t>要求。</w:t>
      </w:r>
    </w:p>
    <w:p>
      <w:pPr>
        <w:pStyle w:val="6"/>
        <w:spacing w:before="480" w:after="200" w:line="276" w:lineRule="auto"/>
        <w:rPr>
          <w:b w:val="0"/>
          <w:bCs w:val="0"/>
          <w:lang w:eastAsia="zh-CN"/>
        </w:rPr>
      </w:pPr>
      <w:r>
        <w:rPr>
          <w:lang w:eastAsia="zh-CN"/>
        </w:rPr>
        <w:t xml:space="preserve">4.3 </w:t>
      </w:r>
      <w:r>
        <w:rPr>
          <w:lang w:eastAsia="zh-CN"/>
        </w:rPr>
        <w:tab/>
      </w:r>
      <w:bookmarkStart w:id="12" w:name="OLE_LINK2"/>
      <w:r>
        <w:rPr>
          <w:rFonts w:hint="eastAsia" w:ascii="微软雅黑" w:hAnsi="微软雅黑" w:eastAsia="微软雅黑" w:cs="微软雅黑"/>
          <w:lang w:val="en-US" w:eastAsia="zh-CN"/>
        </w:rPr>
        <w:t>会员</w:t>
      </w:r>
      <w:r>
        <w:rPr>
          <w:rFonts w:hint="eastAsia" w:ascii="微软雅黑" w:hAnsi="微软雅黑" w:eastAsia="微软雅黑" w:cs="微软雅黑"/>
          <w:lang w:eastAsia="zh-CN"/>
        </w:rPr>
        <w:t>级合规</w:t>
      </w:r>
      <w:bookmarkEnd w:id="12"/>
      <w:r>
        <w:rPr>
          <w:rFonts w:hint="eastAsia" w:ascii="微软雅黑" w:hAnsi="微软雅黑" w:eastAsia="微软雅黑" w:cs="微软雅黑"/>
          <w:lang w:eastAsia="zh-CN"/>
        </w:rPr>
        <w:t>监测</w:t>
      </w:r>
    </w:p>
    <w:p>
      <w:pPr>
        <w:spacing w:after="240" w:line="240" w:lineRule="exact"/>
        <w:rPr>
          <w:rFonts w:eastAsia="宋体"/>
          <w:lang w:val="en-US" w:eastAsia="zh-CN"/>
        </w:rPr>
      </w:pPr>
      <w:r>
        <w:rPr>
          <w:b/>
          <w:bCs/>
          <w:lang w:eastAsia="zh-CN"/>
        </w:rPr>
        <w:t xml:space="preserve">4.3.1 </w:t>
      </w:r>
      <w:r>
        <w:rPr>
          <w:b/>
          <w:bCs/>
          <w:lang w:eastAsia="zh-CN"/>
        </w:rPr>
        <w:tab/>
      </w:r>
      <w:r>
        <w:rPr>
          <w:rFonts w:hint="eastAsia" w:ascii="微软雅黑" w:hAnsi="微软雅黑" w:eastAsia="微软雅黑" w:cs="微软雅黑"/>
          <w:b/>
          <w:bCs/>
          <w:lang w:eastAsia="zh-CN"/>
        </w:rPr>
        <w:t>会员级合规</w:t>
      </w:r>
      <w:r>
        <w:rPr>
          <w:rFonts w:hint="eastAsia" w:ascii="微软雅黑" w:hAnsi="微软雅黑" w:eastAsia="微软雅黑" w:cs="微软雅黑"/>
          <w:b/>
          <w:bCs/>
          <w:lang w:val="en-US" w:eastAsia="zh-CN"/>
        </w:rPr>
        <w:t>标准</w:t>
      </w:r>
    </w:p>
    <w:p>
      <w:pPr>
        <w:spacing w:after="240" w:line="240" w:lineRule="exact"/>
        <w:rPr>
          <w:rFonts w:ascii="宋体" w:hAnsi="宋体" w:eastAsia="宋体" w:cs="宋体"/>
          <w:lang w:eastAsia="zh-CN"/>
        </w:rPr>
      </w:pPr>
      <w:r>
        <w:rPr>
          <w:rFonts w:hint="eastAsia" w:ascii="宋体" w:hAnsi="宋体" w:eastAsia="宋体" w:cs="宋体"/>
          <w:lang w:eastAsia="zh-CN"/>
        </w:rPr>
        <w:t>对比符合第</w:t>
      </w:r>
      <w:r>
        <w:rPr>
          <w:rFonts w:hint="eastAsia"/>
          <w:lang w:eastAsia="zh-CN"/>
        </w:rPr>
        <w:t>4.2.1</w:t>
      </w:r>
      <w:r>
        <w:rPr>
          <w:rFonts w:hint="eastAsia" w:ascii="宋体" w:hAnsi="宋体" w:eastAsia="宋体" w:cs="宋体"/>
          <w:lang w:eastAsia="zh-CN"/>
        </w:rPr>
        <w:t>节所述台站合规标准的会员台站数量与</w:t>
      </w:r>
      <w:r>
        <w:rPr>
          <w:rFonts w:hint="eastAsia"/>
          <w:lang w:eastAsia="zh-CN"/>
        </w:rPr>
        <w:t>GBON</w:t>
      </w:r>
      <w:r>
        <w:rPr>
          <w:rFonts w:hint="eastAsia" w:ascii="宋体" w:hAnsi="宋体" w:eastAsia="宋体" w:cs="宋体"/>
          <w:lang w:eastAsia="zh-CN"/>
        </w:rPr>
        <w:t>全球差距分析（</w:t>
      </w:r>
      <w:r>
        <w:rPr>
          <w:rFonts w:hint="eastAsia"/>
          <w:lang w:eastAsia="zh-CN"/>
        </w:rPr>
        <w:t>GGGA</w:t>
      </w:r>
      <w:r>
        <w:rPr>
          <w:rFonts w:hint="eastAsia" w:ascii="宋体" w:hAnsi="宋体" w:eastAsia="宋体" w:cs="宋体"/>
          <w:lang w:eastAsia="zh-CN"/>
        </w:rPr>
        <w:t>）估计的台站数量。会员级合规标准如下：</w:t>
      </w:r>
    </w:p>
    <w:p>
      <w:pPr>
        <w:pStyle w:val="2"/>
        <w:rPr>
          <w:rFonts w:ascii="微软雅黑" w:hAnsi="微软雅黑" w:eastAsia="微软雅黑" w:cs="微软雅黑"/>
          <w:b/>
          <w:bCs/>
          <w:szCs w:val="20"/>
          <w:lang w:eastAsia="zh-CN"/>
        </w:rPr>
      </w:pPr>
      <w:r>
        <w:rPr>
          <w:rFonts w:hint="eastAsia"/>
          <w:b/>
          <w:bCs/>
          <w:szCs w:val="20"/>
          <w:lang w:eastAsia="zh-CN"/>
        </w:rPr>
        <w:t>M1</w:t>
      </w:r>
      <w:r>
        <w:rPr>
          <w:rFonts w:hint="eastAsia" w:ascii="微软雅黑" w:hAnsi="微软雅黑" w:eastAsia="微软雅黑" w:cs="微软雅黑"/>
          <w:b/>
          <w:bCs/>
          <w:szCs w:val="20"/>
          <w:lang w:eastAsia="zh-CN"/>
        </w:rPr>
        <w:t>：地面</w:t>
      </w:r>
      <w:r>
        <w:rPr>
          <w:rFonts w:hint="eastAsia"/>
          <w:b/>
          <w:bCs/>
          <w:szCs w:val="20"/>
          <w:lang w:eastAsia="zh-CN"/>
        </w:rPr>
        <w:t>GBON</w:t>
      </w:r>
      <w:r>
        <w:rPr>
          <w:rFonts w:hint="eastAsia" w:ascii="微软雅黑" w:hAnsi="微软雅黑" w:eastAsia="微软雅黑" w:cs="微软雅黑"/>
          <w:b/>
          <w:bCs/>
          <w:szCs w:val="20"/>
          <w:lang w:eastAsia="zh-CN"/>
        </w:rPr>
        <w:t>合规台站（</w:t>
      </w:r>
      <w:r>
        <w:rPr>
          <w:rFonts w:hint="eastAsia"/>
          <w:b/>
          <w:bCs/>
          <w:szCs w:val="20"/>
          <w:lang w:eastAsia="zh-CN"/>
        </w:rPr>
        <w:t>SLGCS</w:t>
      </w:r>
      <w:r>
        <w:rPr>
          <w:rFonts w:hint="eastAsia" w:ascii="微软雅黑" w:hAnsi="微软雅黑" w:eastAsia="微软雅黑" w:cs="微软雅黑"/>
          <w:b/>
          <w:bCs/>
          <w:szCs w:val="20"/>
          <w:lang w:eastAsia="zh-CN"/>
        </w:rPr>
        <w:t>）</w:t>
      </w:r>
    </w:p>
    <w:p>
      <w:pPr>
        <w:pStyle w:val="2"/>
        <w:rPr>
          <w:rFonts w:ascii="宋体" w:hAnsi="宋体" w:eastAsia="宋体" w:cs="宋体"/>
          <w:szCs w:val="20"/>
          <w:lang w:eastAsia="zh-CN"/>
        </w:rPr>
      </w:pPr>
      <w:r>
        <w:rPr>
          <w:rFonts w:hint="eastAsia" w:ascii="宋体" w:hAnsi="宋体" w:eastAsia="宋体" w:cs="宋体"/>
          <w:szCs w:val="20"/>
          <w:lang w:eastAsia="zh-CN"/>
        </w:rPr>
        <w:t>会员的地面</w:t>
      </w:r>
      <w:r>
        <w:rPr>
          <w:rFonts w:eastAsia="宋体" w:cs="Verdana"/>
          <w:szCs w:val="20"/>
          <w:lang w:eastAsia="zh-CN"/>
        </w:rPr>
        <w:t>GBON</w:t>
      </w:r>
      <w:r>
        <w:rPr>
          <w:rFonts w:hint="eastAsia" w:ascii="宋体" w:hAnsi="宋体" w:eastAsia="宋体" w:cs="宋体"/>
          <w:szCs w:val="20"/>
          <w:lang w:eastAsia="zh-CN"/>
        </w:rPr>
        <w:t>合规台站（</w:t>
      </w:r>
      <w:r>
        <w:rPr>
          <w:rFonts w:eastAsia="宋体" w:cs="Verdana"/>
          <w:szCs w:val="20"/>
          <w:lang w:eastAsia="zh-CN"/>
        </w:rPr>
        <w:t>SLGCS</w:t>
      </w:r>
      <w:r>
        <w:rPr>
          <w:rFonts w:hint="eastAsia" w:ascii="宋体" w:hAnsi="宋体" w:eastAsia="宋体" w:cs="宋体"/>
          <w:szCs w:val="20"/>
          <w:lang w:eastAsia="zh-CN"/>
        </w:rPr>
        <w:t>）的数量大于或等于</w:t>
      </w:r>
      <w:r>
        <w:rPr>
          <w:rFonts w:eastAsia="宋体" w:cs="Verdana"/>
          <w:szCs w:val="20"/>
          <w:lang w:eastAsia="zh-CN"/>
        </w:rPr>
        <w:t>GGGA</w:t>
      </w:r>
      <w:r>
        <w:rPr>
          <w:rFonts w:hint="eastAsia" w:ascii="宋体" w:hAnsi="宋体" w:eastAsia="宋体" w:cs="宋体"/>
          <w:szCs w:val="20"/>
          <w:lang w:eastAsia="zh-CN"/>
        </w:rPr>
        <w:t>要求的地面</w:t>
      </w:r>
      <w:r>
        <w:rPr>
          <w:rFonts w:eastAsia="宋体" w:cs="Verdana"/>
          <w:szCs w:val="20"/>
          <w:lang w:eastAsia="zh-CN"/>
        </w:rPr>
        <w:t>GBON</w:t>
      </w:r>
      <w:r>
        <w:rPr>
          <w:rFonts w:hint="eastAsia" w:ascii="宋体" w:hAnsi="宋体" w:eastAsia="宋体" w:cs="宋体"/>
          <w:szCs w:val="20"/>
          <w:lang w:eastAsia="zh-CN"/>
        </w:rPr>
        <w:t>台站（</w:t>
      </w:r>
      <w:r>
        <w:rPr>
          <w:rFonts w:eastAsia="宋体" w:cs="Verdana"/>
          <w:szCs w:val="20"/>
          <w:lang w:eastAsia="zh-CN"/>
        </w:rPr>
        <w:t>SLGS</w:t>
      </w:r>
      <w:r>
        <w:rPr>
          <w:rFonts w:hint="eastAsia" w:ascii="宋体" w:hAnsi="宋体" w:eastAsia="宋体" w:cs="宋体"/>
          <w:szCs w:val="20"/>
          <w:lang w:eastAsia="zh-CN"/>
        </w:rPr>
        <w:t>）的数量：</w:t>
      </w:r>
    </w:p>
    <w:p>
      <w:pPr>
        <w:pStyle w:val="2"/>
        <w:rPr>
          <w:rFonts w:ascii="宋体" w:hAnsi="宋体" w:eastAsia="宋体" w:cs="宋体"/>
          <w:szCs w:val="20"/>
          <w:lang w:eastAsia="zh-CN"/>
        </w:rPr>
      </w:pPr>
      <w:r>
        <w:rPr>
          <w:rFonts w:hint="eastAsia" w:ascii="宋体" w:hAnsi="宋体" w:eastAsia="宋体" w:cs="宋体"/>
          <w:szCs w:val="20"/>
          <w:lang w:eastAsia="zh-CN"/>
        </w:rPr>
        <w:tab/>
      </w:r>
      <w:r>
        <w:rPr>
          <w:rFonts w:eastAsia="宋体" w:cs="Verdana"/>
          <w:szCs w:val="20"/>
          <w:lang w:eastAsia="zh-CN"/>
        </w:rPr>
        <w:t>SLGCS</w:t>
      </w:r>
      <w:r>
        <w:rPr>
          <w:rFonts w:hint="eastAsia" w:ascii="宋体" w:hAnsi="宋体" w:eastAsia="宋体" w:cs="宋体"/>
          <w:szCs w:val="20"/>
          <w:lang w:eastAsia="zh-CN"/>
        </w:rPr>
        <w:t>数量≥</w:t>
      </w:r>
      <w:r>
        <w:rPr>
          <w:rFonts w:eastAsia="宋体" w:cs="Verdana"/>
          <w:szCs w:val="20"/>
          <w:lang w:eastAsia="zh-CN"/>
        </w:rPr>
        <w:t>GGGA</w:t>
      </w:r>
      <w:r>
        <w:rPr>
          <w:rFonts w:hint="eastAsia" w:ascii="宋体" w:hAnsi="宋体" w:eastAsia="宋体" w:cs="宋体"/>
          <w:szCs w:val="20"/>
          <w:lang w:eastAsia="zh-CN"/>
        </w:rPr>
        <w:t>要求的</w:t>
      </w:r>
      <w:r>
        <w:rPr>
          <w:rFonts w:eastAsia="宋体" w:cs="Verdana"/>
          <w:szCs w:val="20"/>
          <w:lang w:eastAsia="zh-CN"/>
        </w:rPr>
        <w:t>SLGS</w:t>
      </w:r>
      <w:r>
        <w:rPr>
          <w:rFonts w:hint="eastAsia" w:ascii="宋体" w:hAnsi="宋体" w:eastAsia="宋体" w:cs="宋体"/>
          <w:szCs w:val="20"/>
          <w:lang w:eastAsia="zh-CN"/>
        </w:rPr>
        <w:t>数量</w:t>
      </w:r>
    </w:p>
    <w:p>
      <w:pPr>
        <w:pStyle w:val="2"/>
        <w:rPr>
          <w:rFonts w:ascii="微软雅黑" w:hAnsi="微软雅黑" w:eastAsia="微软雅黑" w:cs="微软雅黑"/>
          <w:b/>
          <w:bCs/>
          <w:szCs w:val="20"/>
          <w:lang w:eastAsia="zh-CN"/>
        </w:rPr>
      </w:pPr>
      <w:r>
        <w:rPr>
          <w:rFonts w:hint="eastAsia"/>
          <w:b/>
          <w:bCs/>
          <w:szCs w:val="20"/>
          <w:lang w:eastAsia="zh-CN"/>
        </w:rPr>
        <w:t>M2</w:t>
      </w:r>
      <w:r>
        <w:rPr>
          <w:rFonts w:hint="eastAsia" w:ascii="微软雅黑" w:hAnsi="微软雅黑" w:eastAsia="微软雅黑" w:cs="微软雅黑"/>
          <w:b/>
          <w:bCs/>
          <w:szCs w:val="20"/>
          <w:lang w:eastAsia="zh-CN"/>
        </w:rPr>
        <w:t>：高空陆地</w:t>
      </w:r>
      <w:r>
        <w:rPr>
          <w:rFonts w:hint="eastAsia"/>
          <w:b/>
          <w:bCs/>
          <w:szCs w:val="20"/>
          <w:lang w:eastAsia="zh-CN"/>
        </w:rPr>
        <w:t>GBON</w:t>
      </w:r>
      <w:r>
        <w:rPr>
          <w:rFonts w:hint="eastAsia" w:ascii="微软雅黑" w:hAnsi="微软雅黑" w:eastAsia="微软雅黑" w:cs="微软雅黑"/>
          <w:b/>
          <w:bCs/>
          <w:szCs w:val="20"/>
          <w:lang w:eastAsia="zh-CN"/>
        </w:rPr>
        <w:t>合规台站</w:t>
      </w:r>
    </w:p>
    <w:p>
      <w:pPr>
        <w:pStyle w:val="2"/>
        <w:rPr>
          <w:rFonts w:ascii="宋体" w:hAnsi="宋体" w:eastAsia="宋体" w:cs="宋体"/>
          <w:szCs w:val="20"/>
          <w:lang w:eastAsia="zh-CN"/>
        </w:rPr>
      </w:pPr>
      <w:r>
        <w:rPr>
          <w:rFonts w:hint="eastAsia" w:ascii="宋体" w:hAnsi="宋体" w:eastAsia="宋体" w:cs="宋体"/>
          <w:szCs w:val="20"/>
          <w:lang w:eastAsia="zh-CN"/>
        </w:rPr>
        <w:t>会员的高空陆地</w:t>
      </w:r>
      <w:r>
        <w:rPr>
          <w:rFonts w:eastAsia="宋体" w:cs="Verdana"/>
          <w:szCs w:val="20"/>
          <w:lang w:eastAsia="zh-CN"/>
        </w:rPr>
        <w:t>GBON</w:t>
      </w:r>
      <w:r>
        <w:rPr>
          <w:rFonts w:hint="eastAsia" w:ascii="宋体" w:hAnsi="宋体" w:eastAsia="宋体" w:cs="宋体"/>
          <w:szCs w:val="20"/>
          <w:lang w:eastAsia="zh-CN"/>
        </w:rPr>
        <w:t>合规台站（</w:t>
      </w:r>
      <w:r>
        <w:rPr>
          <w:rFonts w:eastAsia="宋体" w:cs="Verdana"/>
          <w:szCs w:val="20"/>
          <w:lang w:eastAsia="zh-CN"/>
        </w:rPr>
        <w:t>UALGCS</w:t>
      </w:r>
      <w:r>
        <w:rPr>
          <w:rFonts w:hint="eastAsia" w:ascii="宋体" w:hAnsi="宋体" w:eastAsia="宋体" w:cs="宋体"/>
          <w:szCs w:val="20"/>
          <w:lang w:eastAsia="zh-CN"/>
        </w:rPr>
        <w:t>）的数量大于或等于</w:t>
      </w:r>
      <w:r>
        <w:rPr>
          <w:rFonts w:eastAsia="宋体" w:cs="Verdana"/>
          <w:szCs w:val="20"/>
          <w:lang w:eastAsia="zh-CN"/>
        </w:rPr>
        <w:t>GGGA</w:t>
      </w:r>
      <w:r>
        <w:rPr>
          <w:rFonts w:hint="eastAsia" w:ascii="宋体" w:hAnsi="宋体" w:eastAsia="宋体" w:cs="宋体"/>
          <w:szCs w:val="20"/>
          <w:lang w:eastAsia="zh-CN"/>
        </w:rPr>
        <w:t>要求的高空陆地</w:t>
      </w:r>
      <w:r>
        <w:rPr>
          <w:rFonts w:eastAsia="宋体" w:cs="Verdana"/>
          <w:szCs w:val="20"/>
          <w:lang w:eastAsia="zh-CN"/>
        </w:rPr>
        <w:t>GBON</w:t>
      </w:r>
      <w:r>
        <w:rPr>
          <w:rFonts w:hint="eastAsia" w:ascii="宋体" w:hAnsi="宋体" w:eastAsia="宋体" w:cs="宋体"/>
          <w:szCs w:val="20"/>
          <w:lang w:eastAsia="zh-CN"/>
        </w:rPr>
        <w:t>台站（</w:t>
      </w:r>
      <w:r>
        <w:rPr>
          <w:rFonts w:eastAsia="宋体" w:cs="Verdana"/>
          <w:szCs w:val="20"/>
          <w:lang w:eastAsia="zh-CN"/>
        </w:rPr>
        <w:t>UALGS</w:t>
      </w:r>
      <w:r>
        <w:rPr>
          <w:rFonts w:hint="eastAsia" w:ascii="宋体" w:hAnsi="宋体" w:eastAsia="宋体" w:cs="宋体"/>
          <w:szCs w:val="20"/>
          <w:lang w:eastAsia="zh-CN"/>
        </w:rPr>
        <w:t>）的数量：</w:t>
      </w:r>
    </w:p>
    <w:p>
      <w:pPr>
        <w:pStyle w:val="2"/>
        <w:rPr>
          <w:rFonts w:ascii="宋体" w:hAnsi="宋体" w:eastAsia="宋体" w:cs="宋体"/>
          <w:szCs w:val="20"/>
          <w:lang w:eastAsia="zh-CN"/>
        </w:rPr>
      </w:pPr>
      <w:r>
        <w:rPr>
          <w:rFonts w:hint="eastAsia" w:ascii="宋体" w:hAnsi="宋体" w:eastAsia="宋体" w:cs="宋体"/>
          <w:szCs w:val="20"/>
          <w:lang w:eastAsia="zh-CN"/>
        </w:rPr>
        <w:tab/>
      </w:r>
      <w:r>
        <w:rPr>
          <w:rFonts w:eastAsia="宋体" w:cs="Verdana"/>
          <w:szCs w:val="20"/>
          <w:lang w:eastAsia="zh-CN"/>
        </w:rPr>
        <w:t>UALGCS</w:t>
      </w:r>
      <w:r>
        <w:rPr>
          <w:rFonts w:hint="eastAsia" w:ascii="宋体" w:hAnsi="宋体" w:eastAsia="宋体" w:cs="宋体"/>
          <w:szCs w:val="20"/>
          <w:lang w:eastAsia="zh-CN"/>
        </w:rPr>
        <w:t>数量≥</w:t>
      </w:r>
      <w:r>
        <w:rPr>
          <w:rFonts w:eastAsia="宋体" w:cs="Verdana"/>
          <w:szCs w:val="20"/>
          <w:lang w:eastAsia="zh-CN"/>
        </w:rPr>
        <w:t>GGGA</w:t>
      </w:r>
      <w:r>
        <w:rPr>
          <w:rFonts w:hint="eastAsia" w:ascii="宋体" w:hAnsi="宋体" w:eastAsia="宋体" w:cs="宋体"/>
          <w:szCs w:val="20"/>
          <w:lang w:eastAsia="zh-CN"/>
        </w:rPr>
        <w:t>要求的</w:t>
      </w:r>
      <w:r>
        <w:rPr>
          <w:rFonts w:eastAsia="宋体" w:cs="Verdana"/>
          <w:szCs w:val="20"/>
          <w:lang w:eastAsia="zh-CN"/>
        </w:rPr>
        <w:t>UALGS</w:t>
      </w:r>
      <w:r>
        <w:rPr>
          <w:rFonts w:hint="eastAsia" w:ascii="宋体" w:hAnsi="宋体" w:eastAsia="宋体" w:cs="宋体"/>
          <w:szCs w:val="20"/>
          <w:lang w:eastAsia="zh-CN"/>
        </w:rPr>
        <w:t>数量</w:t>
      </w:r>
    </w:p>
    <w:p>
      <w:pPr>
        <w:pStyle w:val="2"/>
        <w:rPr>
          <w:rFonts w:ascii="微软雅黑" w:hAnsi="微软雅黑" w:eastAsia="微软雅黑" w:cs="微软雅黑"/>
          <w:b/>
          <w:bCs/>
          <w:szCs w:val="20"/>
          <w:lang w:eastAsia="zh-CN"/>
        </w:rPr>
      </w:pPr>
      <w:r>
        <w:rPr>
          <w:b/>
          <w:bCs/>
          <w:szCs w:val="20"/>
          <w:lang w:eastAsia="zh-CN"/>
        </w:rPr>
        <w:t>4.3.2</w:t>
      </w:r>
      <w:r>
        <w:rPr>
          <w:szCs w:val="20"/>
          <w:lang w:eastAsia="zh-CN"/>
        </w:rPr>
        <w:t xml:space="preserve"> </w:t>
      </w:r>
      <w:r>
        <w:rPr>
          <w:szCs w:val="20"/>
          <w:lang w:eastAsia="zh-CN"/>
        </w:rPr>
        <w:tab/>
      </w:r>
      <w:r>
        <w:rPr>
          <w:rFonts w:eastAsia="微软雅黑" w:cs="Verdana"/>
          <w:b/>
          <w:bCs/>
          <w:szCs w:val="20"/>
          <w:lang w:eastAsia="zh-CN"/>
        </w:rPr>
        <w:t>GBON</w:t>
      </w:r>
      <w:r>
        <w:rPr>
          <w:rFonts w:hint="eastAsia" w:ascii="微软雅黑" w:hAnsi="微软雅黑" w:eastAsia="微软雅黑" w:cs="微软雅黑"/>
          <w:b/>
          <w:bCs/>
          <w:szCs w:val="20"/>
          <w:lang w:eastAsia="zh-CN"/>
        </w:rPr>
        <w:t>会员级合规评估</w:t>
      </w:r>
    </w:p>
    <w:p>
      <w:pPr>
        <w:spacing w:after="240" w:line="240" w:lineRule="exact"/>
        <w:rPr>
          <w:rFonts w:ascii="宋体" w:hAnsi="宋体" w:eastAsia="宋体" w:cs="宋体"/>
          <w:lang w:eastAsia="zh-CN"/>
        </w:rPr>
      </w:pPr>
      <w:r>
        <w:rPr>
          <w:rFonts w:hint="eastAsia" w:ascii="宋体" w:hAnsi="宋体" w:eastAsia="宋体" w:cs="宋体"/>
          <w:lang w:eastAsia="zh-CN"/>
        </w:rPr>
        <w:t>每月根据第</w:t>
      </w:r>
      <w:r>
        <w:rPr>
          <w:rFonts w:eastAsia="宋体" w:cs="Verdana"/>
          <w:lang w:eastAsia="zh-CN"/>
        </w:rPr>
        <w:t>4.3.1</w:t>
      </w:r>
      <w:r>
        <w:rPr>
          <w:rFonts w:hint="eastAsia" w:ascii="宋体" w:hAnsi="宋体" w:eastAsia="宋体" w:cs="宋体"/>
          <w:lang w:eastAsia="zh-CN"/>
        </w:rPr>
        <w:t>节中的标准</w:t>
      </w:r>
      <w:r>
        <w:rPr>
          <w:rFonts w:eastAsia="宋体" w:cs="Verdana"/>
          <w:lang w:eastAsia="zh-CN"/>
        </w:rPr>
        <w:t>M1</w:t>
      </w:r>
      <w:r>
        <w:rPr>
          <w:rFonts w:hint="eastAsia" w:ascii="宋体" w:hAnsi="宋体" w:eastAsia="宋体" w:cs="宋体"/>
          <w:lang w:eastAsia="zh-CN"/>
        </w:rPr>
        <w:t>和</w:t>
      </w:r>
      <w:r>
        <w:rPr>
          <w:rFonts w:eastAsia="宋体" w:cs="Verdana"/>
          <w:lang w:eastAsia="zh-CN"/>
        </w:rPr>
        <w:t>M2</w:t>
      </w:r>
      <w:r>
        <w:rPr>
          <w:rFonts w:hint="eastAsia" w:eastAsia="宋体" w:cs="Verdana"/>
          <w:lang w:eastAsia="zh-CN"/>
        </w:rPr>
        <w:t>进行</w:t>
      </w:r>
      <w:r>
        <w:rPr>
          <w:rFonts w:eastAsia="宋体" w:cs="Verdana"/>
          <w:lang w:eastAsia="zh-CN"/>
        </w:rPr>
        <w:t>GBON</w:t>
      </w:r>
      <w:r>
        <w:rPr>
          <w:rFonts w:hint="eastAsia" w:ascii="宋体" w:hAnsi="宋体" w:eastAsia="宋体" w:cs="宋体"/>
          <w:lang w:eastAsia="zh-CN"/>
        </w:rPr>
        <w:t>会员级合规评估。</w:t>
      </w:r>
    </w:p>
    <w:p>
      <w:pPr>
        <w:pStyle w:val="2"/>
        <w:rPr>
          <w:rFonts w:ascii="宋体" w:hAnsi="宋体" w:eastAsia="宋体" w:cs="宋体"/>
          <w:szCs w:val="20"/>
          <w:lang w:eastAsia="zh-CN"/>
        </w:rPr>
      </w:pPr>
      <w:r>
        <w:rPr>
          <w:rFonts w:hint="eastAsia" w:ascii="宋体" w:hAnsi="宋体" w:eastAsia="宋体" w:cs="宋体"/>
          <w:szCs w:val="20"/>
          <w:lang w:eastAsia="zh-CN"/>
        </w:rPr>
        <w:t>仅当</w:t>
      </w:r>
      <w:r>
        <w:rPr>
          <w:rFonts w:eastAsia="宋体" w:cs="Verdana"/>
          <w:lang w:eastAsia="zh-CN"/>
        </w:rPr>
        <w:t>M1</w:t>
      </w:r>
      <w:r>
        <w:rPr>
          <w:rFonts w:hint="eastAsia" w:ascii="宋体" w:hAnsi="宋体" w:eastAsia="宋体" w:cs="宋体"/>
          <w:lang w:eastAsia="zh-CN"/>
        </w:rPr>
        <w:t>和</w:t>
      </w:r>
      <w:r>
        <w:rPr>
          <w:rFonts w:eastAsia="宋体" w:cs="Verdana"/>
          <w:lang w:eastAsia="zh-CN"/>
        </w:rPr>
        <w:t>M2</w:t>
      </w:r>
      <w:r>
        <w:rPr>
          <w:rFonts w:hint="eastAsia" w:ascii="宋体" w:hAnsi="宋体" w:eastAsia="宋体" w:cs="宋体"/>
          <w:szCs w:val="20"/>
          <w:lang w:eastAsia="zh-CN"/>
        </w:rPr>
        <w:t>两个标准同时满足时，</w:t>
      </w:r>
      <w:r>
        <w:rPr>
          <w:rFonts w:hint="eastAsia" w:ascii="宋体" w:hAnsi="宋体" w:eastAsia="宋体" w:cs="宋体"/>
          <w:szCs w:val="20"/>
          <w:lang w:val="en-US" w:eastAsia="zh-CN"/>
        </w:rPr>
        <w:t>会员</w:t>
      </w:r>
      <w:r>
        <w:rPr>
          <w:rFonts w:hint="eastAsia" w:ascii="宋体" w:hAnsi="宋体" w:eastAsia="宋体" w:cs="宋体"/>
          <w:szCs w:val="20"/>
          <w:lang w:eastAsia="zh-CN"/>
        </w:rPr>
        <w:t>才通过了</w:t>
      </w:r>
      <w:r>
        <w:rPr>
          <w:rFonts w:eastAsia="宋体" w:cs="Verdana"/>
          <w:lang w:eastAsia="zh-CN"/>
        </w:rPr>
        <w:t>GBON</w:t>
      </w:r>
      <w:r>
        <w:rPr>
          <w:rFonts w:hint="eastAsia" w:ascii="宋体" w:hAnsi="宋体" w:eastAsia="宋体" w:cs="宋体"/>
          <w:szCs w:val="20"/>
          <w:lang w:eastAsia="zh-CN"/>
        </w:rPr>
        <w:t>合规评估。</w:t>
      </w:r>
    </w:p>
    <w:p>
      <w:pPr>
        <w:pStyle w:val="2"/>
        <w:rPr>
          <w:rFonts w:ascii="宋体" w:hAnsi="宋体" w:eastAsia="宋体" w:cs="宋体"/>
          <w:lang w:eastAsia="zh-CN"/>
        </w:rPr>
      </w:pPr>
      <w:r>
        <w:rPr>
          <w:rFonts w:hint="eastAsia" w:ascii="宋体" w:hAnsi="宋体" w:eastAsia="宋体" w:cs="宋体"/>
          <w:szCs w:val="20"/>
          <w:lang w:eastAsia="zh-CN"/>
        </w:rPr>
        <w:t>注：在某些情况下，例如当一个会员的领土相当小或形状不规则时，其邻近会员的一些</w:t>
      </w:r>
      <w:r>
        <w:rPr>
          <w:rFonts w:eastAsia="宋体" w:cs="Verdana"/>
          <w:szCs w:val="20"/>
          <w:lang w:eastAsia="zh-CN"/>
        </w:rPr>
        <w:t>GBON</w:t>
      </w:r>
      <w:r>
        <w:rPr>
          <w:rFonts w:hint="eastAsia" w:ascii="宋体" w:hAnsi="宋体" w:eastAsia="宋体" w:cs="宋体"/>
          <w:szCs w:val="20"/>
          <w:lang w:eastAsia="zh-CN"/>
        </w:rPr>
        <w:t>合规台站可纳入该成员的合规性评估。在这种情况下，相关会员必须提供书面材料，证明其邻近会员同意将自己的台站纳入</w:t>
      </w:r>
      <w:r>
        <w:rPr>
          <w:rFonts w:eastAsia="宋体" w:cs="Verdana"/>
          <w:szCs w:val="20"/>
          <w:lang w:eastAsia="zh-CN"/>
        </w:rPr>
        <w:t>GBON</w:t>
      </w:r>
      <w:r>
        <w:rPr>
          <w:rFonts w:hint="eastAsia" w:ascii="宋体" w:hAnsi="宋体" w:eastAsia="宋体" w:cs="宋体"/>
          <w:szCs w:val="20"/>
          <w:lang w:eastAsia="zh-CN"/>
        </w:rPr>
        <w:t>对该会员的评估，并按第</w:t>
      </w:r>
      <w:r>
        <w:rPr>
          <w:rFonts w:eastAsia="宋体" w:cs="Verdana"/>
          <w:szCs w:val="20"/>
          <w:lang w:eastAsia="zh-CN"/>
        </w:rPr>
        <w:t>4.5</w:t>
      </w:r>
      <w:r>
        <w:rPr>
          <w:rFonts w:hint="eastAsia" w:ascii="宋体" w:hAnsi="宋体" w:eastAsia="宋体" w:cs="宋体"/>
          <w:szCs w:val="20"/>
          <w:lang w:eastAsia="zh-CN"/>
        </w:rPr>
        <w:t>节所述向秘书处报告。</w:t>
      </w:r>
    </w:p>
    <w:p>
      <w:pPr>
        <w:pStyle w:val="2"/>
        <w:keepNext/>
        <w:keepLines/>
        <w:spacing w:before="480" w:after="200" w:line="276" w:lineRule="auto"/>
        <w:outlineLvl w:val="2"/>
        <w:rPr>
          <w:rFonts w:ascii="微软雅黑" w:hAnsi="微软雅黑" w:eastAsia="微软雅黑" w:cs="微软雅黑"/>
          <w:b/>
          <w:bCs/>
          <w:lang w:eastAsia="zh-CN"/>
        </w:rPr>
      </w:pPr>
      <w:r>
        <w:rPr>
          <w:b/>
          <w:bCs/>
          <w:lang w:eastAsia="zh-CN"/>
        </w:rPr>
        <w:t xml:space="preserve">4.4 </w:t>
      </w:r>
      <w:r>
        <w:rPr>
          <w:lang w:eastAsia="zh-CN"/>
        </w:rPr>
        <w:tab/>
      </w:r>
      <w:r>
        <w:rPr>
          <w:rFonts w:hint="eastAsia" w:ascii="微软雅黑" w:hAnsi="微软雅黑" w:eastAsia="微软雅黑" w:cs="微软雅黑"/>
          <w:b/>
          <w:bCs/>
          <w:lang w:eastAsia="zh-CN"/>
        </w:rPr>
        <w:t>合规状态和报告</w:t>
      </w:r>
    </w:p>
    <w:p>
      <w:pPr>
        <w:keepNext/>
        <w:keepLines/>
        <w:spacing w:after="240" w:line="240" w:lineRule="exact"/>
        <w:rPr>
          <w:lang w:eastAsia="zh-CN"/>
        </w:rPr>
      </w:pPr>
      <w:bookmarkStart w:id="13" w:name="_Hlk123812154"/>
      <w:r>
        <w:rPr>
          <w:rFonts w:hint="eastAsia" w:ascii="宋体" w:hAnsi="宋体" w:eastAsia="宋体" w:cs="宋体"/>
          <w:lang w:eastAsia="zh-CN"/>
        </w:rPr>
        <w:t>将使用</w:t>
      </w:r>
      <w:r>
        <w:rPr>
          <w:rFonts w:eastAsia="宋体" w:cs="Verdana"/>
          <w:lang w:eastAsia="zh-CN"/>
        </w:rPr>
        <w:t>WDQMS</w:t>
      </w:r>
      <w:r>
        <w:rPr>
          <w:rFonts w:hint="eastAsia" w:ascii="宋体" w:hAnsi="宋体" w:eastAsia="宋体" w:cs="宋体"/>
          <w:lang w:eastAsia="zh-CN"/>
        </w:rPr>
        <w:t>网络工具等工具，定期开展台站级和会员级的</w:t>
      </w:r>
      <w:r>
        <w:rPr>
          <w:rFonts w:eastAsia="宋体" w:cs="Verdana"/>
          <w:lang w:eastAsia="zh-CN"/>
        </w:rPr>
        <w:t>GBON</w:t>
      </w:r>
      <w:r>
        <w:rPr>
          <w:rFonts w:hint="eastAsia" w:ascii="宋体" w:hAnsi="宋体" w:eastAsia="宋体" w:cs="宋体"/>
          <w:lang w:eastAsia="zh-CN"/>
        </w:rPr>
        <w:t>合规评估，并提供评估结果。台站级合规结果将自动生成，通过</w:t>
      </w:r>
      <w:r>
        <w:rPr>
          <w:rFonts w:eastAsia="宋体" w:cs="Verdana"/>
          <w:lang w:eastAsia="zh-CN"/>
        </w:rPr>
        <w:t>WDQMS</w:t>
      </w:r>
      <w:r>
        <w:rPr>
          <w:rFonts w:hint="eastAsia" w:ascii="宋体" w:hAnsi="宋体" w:eastAsia="宋体" w:cs="宋体"/>
          <w:lang w:eastAsia="zh-CN"/>
        </w:rPr>
        <w:t>网络工具在线提供，并且每月汇总；至于会员级合规结果，</w:t>
      </w:r>
      <w:r>
        <w:rPr>
          <w:rFonts w:eastAsia="宋体" w:cs="Verdana"/>
          <w:lang w:eastAsia="zh-CN"/>
        </w:rPr>
        <w:t>INFCOM</w:t>
      </w:r>
      <w:r>
        <w:rPr>
          <w:rFonts w:hint="eastAsia" w:ascii="宋体" w:hAnsi="宋体" w:eastAsia="宋体" w:cs="宋体"/>
          <w:lang w:eastAsia="zh-CN"/>
        </w:rPr>
        <w:t>地球观测系统和监测网络常设委员会（</w:t>
      </w:r>
      <w:r>
        <w:rPr>
          <w:rFonts w:eastAsia="宋体" w:cs="Verdana"/>
          <w:lang w:eastAsia="zh-CN"/>
        </w:rPr>
        <w:t>SC-ON</w:t>
      </w:r>
      <w:r>
        <w:rPr>
          <w:rFonts w:hint="eastAsia" w:ascii="宋体" w:hAnsi="宋体" w:eastAsia="宋体" w:cs="宋体"/>
          <w:lang w:eastAsia="zh-CN"/>
        </w:rPr>
        <w:t>）会在秘书处的协助下，根据</w:t>
      </w:r>
      <w:r>
        <w:rPr>
          <w:rFonts w:eastAsia="宋体" w:cs="Verdana"/>
          <w:lang w:eastAsia="zh-CN"/>
        </w:rPr>
        <w:t>WDQMS</w:t>
      </w:r>
      <w:r>
        <w:rPr>
          <w:rFonts w:hint="eastAsia" w:ascii="宋体" w:hAnsi="宋体" w:eastAsia="宋体" w:cs="宋体"/>
          <w:lang w:eastAsia="zh-CN"/>
        </w:rPr>
        <w:t>网络工具提供的数据，每季度开展会员级评估并提供评估结果。建议会员审查这些季度评估结果，并在必要时采取行动。</w:t>
      </w:r>
      <w:bookmarkEnd w:id="13"/>
      <w:r>
        <w:rPr>
          <w:rFonts w:hint="eastAsia" w:ascii="宋体" w:hAnsi="宋体" w:eastAsia="宋体" w:cs="宋体"/>
          <w:lang w:eastAsia="zh-CN"/>
        </w:rPr>
        <w:t>区域</w:t>
      </w:r>
      <w:r>
        <w:rPr>
          <w:rFonts w:eastAsia="宋体" w:cs="Verdana"/>
          <w:lang w:eastAsia="zh-CN"/>
        </w:rPr>
        <w:t>WIGOS</w:t>
      </w:r>
      <w:r>
        <w:rPr>
          <w:rFonts w:hint="eastAsia" w:ascii="宋体" w:hAnsi="宋体" w:eastAsia="宋体" w:cs="宋体"/>
          <w:lang w:eastAsia="zh-CN"/>
        </w:rPr>
        <w:t>中心（</w:t>
      </w:r>
      <w:r>
        <w:rPr>
          <w:rFonts w:eastAsia="宋体" w:cs="Verdana"/>
          <w:lang w:eastAsia="zh-CN"/>
        </w:rPr>
        <w:t>RWC</w:t>
      </w:r>
      <w:r>
        <w:rPr>
          <w:rFonts w:hint="eastAsia" w:ascii="宋体" w:hAnsi="宋体" w:eastAsia="宋体" w:cs="宋体"/>
          <w:lang w:eastAsia="zh-CN"/>
        </w:rPr>
        <w:t>）也将在这方面提供协助，提醒会员注意不合规的项目和发现的事件。在会员季度评估的基础上，考虑到会员的反馈意见（如有），</w:t>
      </w:r>
      <w:r>
        <w:rPr>
          <w:rFonts w:eastAsia="宋体" w:cs="Verdana"/>
          <w:lang w:eastAsia="zh-CN"/>
        </w:rPr>
        <w:t>SC-ON</w:t>
      </w:r>
      <w:r>
        <w:rPr>
          <w:rFonts w:hint="eastAsia" w:ascii="宋体" w:hAnsi="宋体" w:eastAsia="宋体" w:cs="宋体"/>
          <w:lang w:eastAsia="zh-CN"/>
        </w:rPr>
        <w:t>将在秘书处的协助下编制国家</w:t>
      </w:r>
      <w:r>
        <w:rPr>
          <w:rFonts w:eastAsia="宋体" w:cs="Verdana"/>
          <w:lang w:eastAsia="zh-CN"/>
        </w:rPr>
        <w:t>GBON</w:t>
      </w:r>
      <w:r>
        <w:rPr>
          <w:rFonts w:hint="eastAsia" w:ascii="宋体" w:hAnsi="宋体" w:eastAsia="宋体" w:cs="宋体"/>
          <w:lang w:eastAsia="zh-CN"/>
        </w:rPr>
        <w:t>评估报告的年度汇编，并予以公布。</w:t>
      </w:r>
    </w:p>
    <w:p>
      <w:pPr>
        <w:pStyle w:val="2"/>
        <w:rPr>
          <w:lang w:eastAsia="zh-CN"/>
        </w:rPr>
      </w:pPr>
      <w:r>
        <w:rPr>
          <w:rFonts w:hint="eastAsia" w:ascii="宋体" w:hAnsi="宋体" w:eastAsia="宋体" w:cs="宋体"/>
          <w:szCs w:val="20"/>
          <w:lang w:eastAsia="zh-CN"/>
        </w:rPr>
        <w:t>请各会员了解其合规状态，并开展合规监测，以便在尚未完全合规的情况下，逐步实现观测网络的完全合规。</w:t>
      </w:r>
    </w:p>
    <w:p>
      <w:pPr>
        <w:pStyle w:val="115"/>
        <w:outlineLvl w:val="2"/>
        <w:rPr>
          <w:rFonts w:eastAsiaTheme="minorEastAsia"/>
          <w:lang w:eastAsia="zh-CN"/>
        </w:rPr>
      </w:pPr>
      <w:r>
        <w:rPr>
          <w:lang w:eastAsia="zh-CN"/>
        </w:rPr>
        <w:t>4.5</w:t>
      </w:r>
      <w:r>
        <w:rPr>
          <w:caps w:val="0"/>
          <w:lang w:eastAsia="zh-CN"/>
        </w:rPr>
        <w:t xml:space="preserve"> </w:t>
      </w:r>
      <w:r>
        <w:rPr>
          <w:caps w:val="0"/>
          <w:lang w:eastAsia="zh-CN"/>
        </w:rPr>
        <w:tab/>
      </w:r>
      <w:r>
        <w:rPr>
          <w:rFonts w:hint="eastAsia" w:ascii="微软雅黑" w:hAnsi="微软雅黑" w:eastAsia="微软雅黑" w:cs="微软雅黑"/>
          <w:caps w:val="0"/>
          <w:lang w:eastAsia="zh-CN"/>
        </w:rPr>
        <w:t>根据《</w:t>
      </w:r>
      <w:r>
        <w:rPr>
          <w:rFonts w:eastAsia="微软雅黑" w:cs="Verdana"/>
          <w:caps w:val="0"/>
          <w:lang w:eastAsia="zh-CN"/>
        </w:rPr>
        <w:t>WMO</w:t>
      </w:r>
      <w:r>
        <w:rPr>
          <w:rFonts w:hint="eastAsia" w:ascii="微软雅黑" w:hAnsi="微软雅黑" w:eastAsia="微软雅黑" w:cs="微软雅黑"/>
          <w:caps w:val="0"/>
          <w:lang w:eastAsia="zh-CN"/>
        </w:rPr>
        <w:t>公约》第</w:t>
      </w:r>
      <w:r>
        <w:rPr>
          <w:rFonts w:eastAsia="微软雅黑" w:cs="Verdana"/>
          <w:caps w:val="0"/>
          <w:lang w:eastAsia="zh-CN"/>
        </w:rPr>
        <w:t>9</w:t>
      </w:r>
      <w:r>
        <w:rPr>
          <w:rFonts w:hint="eastAsia" w:ascii="微软雅黑" w:hAnsi="微软雅黑" w:eastAsia="微软雅黑" w:cs="微软雅黑"/>
          <w:caps w:val="0"/>
          <w:lang w:eastAsia="zh-CN"/>
        </w:rPr>
        <w:t>条进行豁免</w:t>
      </w:r>
    </w:p>
    <w:p>
      <w:pPr>
        <w:pStyle w:val="117"/>
        <w:spacing w:before="0"/>
        <w:outlineLvl w:val="9"/>
        <w:rPr>
          <w:rFonts w:ascii="微软雅黑" w:hAnsi="微软雅黑" w:eastAsia="微软雅黑" w:cs="微软雅黑"/>
          <w:lang w:eastAsia="zh-CN"/>
        </w:rPr>
      </w:pPr>
      <w:bookmarkStart w:id="14" w:name="_p_11B45E9690635046A57114F497203BAE"/>
      <w:bookmarkEnd w:id="14"/>
      <w:bookmarkStart w:id="15" w:name="_p_429C3EF06271EC43B7DBAF75E91D16E7"/>
      <w:bookmarkEnd w:id="15"/>
      <w:r>
        <w:rPr>
          <w:rFonts w:hint="eastAsia" w:ascii="微软雅黑" w:hAnsi="微软雅黑" w:eastAsia="微软雅黑" w:cs="微软雅黑"/>
          <w:lang w:eastAsia="zh-CN"/>
        </w:rPr>
        <w:t>援引《</w:t>
      </w:r>
      <w:r>
        <w:rPr>
          <w:rFonts w:hint="eastAsia"/>
          <w:lang w:eastAsia="zh-CN"/>
        </w:rPr>
        <w:t>WMO</w:t>
      </w:r>
      <w:r>
        <w:rPr>
          <w:rFonts w:hint="eastAsia" w:ascii="微软雅黑" w:hAnsi="微软雅黑" w:eastAsia="微软雅黑" w:cs="微软雅黑"/>
          <w:lang w:eastAsia="zh-CN"/>
        </w:rPr>
        <w:t>公约》第</w:t>
      </w:r>
      <w:r>
        <w:rPr>
          <w:rFonts w:hint="eastAsia"/>
          <w:lang w:eastAsia="zh-CN"/>
        </w:rPr>
        <w:t>9</w:t>
      </w:r>
      <w:r>
        <w:rPr>
          <w:rFonts w:hint="eastAsia" w:ascii="微软雅黑" w:hAnsi="微软雅黑" w:eastAsia="微软雅黑" w:cs="微软雅黑"/>
          <w:lang w:eastAsia="zh-CN"/>
        </w:rPr>
        <w:t>条的会员的合规状态</w:t>
      </w:r>
    </w:p>
    <w:p>
      <w:pPr>
        <w:tabs>
          <w:tab w:val="left" w:pos="1134"/>
        </w:tabs>
        <w:spacing w:after="240" w:line="240" w:lineRule="exact"/>
        <w:jc w:val="both"/>
        <w:rPr>
          <w:rFonts w:ascii="宋体" w:hAnsi="宋体" w:eastAsia="宋体" w:cs="宋体"/>
          <w:color w:val="auto"/>
          <w:lang w:eastAsia="zh-CN"/>
        </w:rPr>
      </w:pPr>
      <w:r>
        <w:rPr>
          <w:rFonts w:hint="eastAsia" w:ascii="宋体" w:hAnsi="宋体" w:eastAsia="宋体" w:cs="宋体"/>
          <w:color w:val="auto"/>
          <w:lang w:eastAsia="zh-CN"/>
        </w:rPr>
        <w:t>在</w:t>
      </w:r>
      <w:r>
        <w:rPr>
          <w:rFonts w:ascii="宋体" w:hAnsi="宋体" w:eastAsia="宋体" w:cs="宋体"/>
          <w:color w:val="auto"/>
          <w:lang w:eastAsia="zh-CN"/>
        </w:rPr>
        <w:fldChar w:fldCharType="begin"/>
      </w:r>
      <w:r>
        <w:rPr>
          <w:rFonts w:ascii="宋体" w:hAnsi="宋体" w:eastAsia="宋体" w:cs="宋体"/>
          <w:color w:val="auto"/>
          <w:lang w:eastAsia="zh-CN"/>
        </w:rPr>
        <w:instrText xml:space="preserve"> </w:instrText>
      </w:r>
      <w:r>
        <w:rPr>
          <w:rFonts w:hint="eastAsia" w:ascii="宋体" w:hAnsi="宋体" w:eastAsia="宋体" w:cs="宋体"/>
          <w:color w:val="auto"/>
          <w:lang w:eastAsia="zh-CN"/>
        </w:rPr>
        <w:instrText xml:space="preserve">HYPERLINK "https://library.wmo.int/index.php?lvl=notice_display&amp;id=14210"</w:instrText>
      </w:r>
      <w:r>
        <w:rPr>
          <w:rFonts w:ascii="宋体" w:hAnsi="宋体" w:eastAsia="宋体" w:cs="宋体"/>
          <w:color w:val="auto"/>
          <w:lang w:eastAsia="zh-CN"/>
        </w:rPr>
        <w:instrText xml:space="preserve"> \l ".Y-o1Ti-KG8U" </w:instrText>
      </w:r>
      <w:r>
        <w:rPr>
          <w:rFonts w:ascii="宋体" w:hAnsi="宋体" w:eastAsia="宋体" w:cs="宋体"/>
          <w:color w:val="auto"/>
          <w:lang w:eastAsia="zh-CN"/>
        </w:rPr>
        <w:fldChar w:fldCharType="separate"/>
      </w:r>
      <w:r>
        <w:rPr>
          <w:rStyle w:val="43"/>
          <w:rFonts w:hint="eastAsia" w:ascii="宋体" w:hAnsi="宋体" w:eastAsia="宋体" w:cs="宋体"/>
          <w:lang w:eastAsia="zh-CN"/>
        </w:rPr>
        <w:t>《基本文件 - 第</w:t>
      </w:r>
      <w:r>
        <w:rPr>
          <w:rStyle w:val="43"/>
          <w:rFonts w:eastAsia="宋体" w:cs="Verdana"/>
          <w:lang w:eastAsia="zh-CN"/>
        </w:rPr>
        <w:t>1</w:t>
      </w:r>
      <w:r>
        <w:rPr>
          <w:rStyle w:val="43"/>
          <w:rFonts w:hint="eastAsia" w:ascii="宋体" w:hAnsi="宋体" w:eastAsia="宋体" w:cs="宋体"/>
          <w:lang w:eastAsia="zh-CN"/>
        </w:rPr>
        <w:t>号》</w:t>
      </w:r>
      <w:r>
        <w:rPr>
          <w:rFonts w:ascii="宋体" w:hAnsi="宋体" w:eastAsia="宋体" w:cs="宋体"/>
          <w:color w:val="auto"/>
          <w:lang w:eastAsia="zh-CN"/>
        </w:rPr>
        <w:fldChar w:fldCharType="end"/>
      </w:r>
      <w:r>
        <w:rPr>
          <w:rFonts w:hint="eastAsia" w:ascii="宋体" w:hAnsi="宋体" w:eastAsia="宋体" w:cs="宋体"/>
          <w:color w:val="auto"/>
          <w:lang w:eastAsia="zh-CN"/>
        </w:rPr>
        <w:t>（</w:t>
      </w:r>
      <w:r>
        <w:rPr>
          <w:rFonts w:eastAsia="宋体" w:cs="Verdana"/>
          <w:color w:val="auto"/>
          <w:lang w:eastAsia="zh-CN"/>
        </w:rPr>
        <w:t>WMO-No. 15</w:t>
      </w:r>
      <w:r>
        <w:rPr>
          <w:rFonts w:hint="eastAsia" w:ascii="宋体" w:hAnsi="宋体" w:eastAsia="宋体" w:cs="宋体"/>
          <w:color w:val="auto"/>
          <w:lang w:eastAsia="zh-CN"/>
        </w:rPr>
        <w:t>）中公布的《</w:t>
      </w:r>
      <w:r>
        <w:rPr>
          <w:rFonts w:eastAsia="宋体" w:cs="Verdana"/>
          <w:color w:val="auto"/>
          <w:lang w:eastAsia="zh-CN"/>
        </w:rPr>
        <w:t>WMO</w:t>
      </w:r>
      <w:r>
        <w:rPr>
          <w:rFonts w:hint="eastAsia" w:ascii="宋体" w:hAnsi="宋体" w:eastAsia="宋体" w:cs="宋体"/>
          <w:color w:val="auto"/>
          <w:lang w:eastAsia="zh-CN"/>
        </w:rPr>
        <w:t>公约》第</w:t>
      </w:r>
      <w:r>
        <w:rPr>
          <w:rFonts w:eastAsia="宋体" w:cs="Verdana"/>
          <w:color w:val="auto"/>
          <w:lang w:eastAsia="zh-CN"/>
        </w:rPr>
        <w:t>9</w:t>
      </w:r>
      <w:r>
        <w:rPr>
          <w:rFonts w:hint="eastAsia" w:ascii="宋体" w:hAnsi="宋体" w:eastAsia="宋体" w:cs="宋体"/>
          <w:color w:val="auto"/>
          <w:lang w:eastAsia="zh-CN"/>
        </w:rPr>
        <w:t>条</w:t>
      </w:r>
      <w:r>
        <w:rPr>
          <w:rFonts w:eastAsia="宋体" w:cs="Verdana"/>
          <w:color w:val="auto"/>
          <w:lang w:eastAsia="zh-CN"/>
        </w:rPr>
        <w:t>b</w:t>
      </w:r>
      <w:r>
        <w:rPr>
          <w:rFonts w:hint="eastAsia" w:ascii="宋体" w:hAnsi="宋体" w:eastAsia="宋体" w:cs="宋体"/>
          <w:color w:val="auto"/>
          <w:lang w:eastAsia="zh-CN"/>
        </w:rPr>
        <w:t>款规定：“</w:t>
      </w:r>
      <w:r>
        <w:rPr>
          <w:rFonts w:hint="eastAsia" w:ascii="宋体" w:hAnsi="宋体" w:eastAsia="宋体" w:cs="宋体"/>
          <w:i/>
          <w:iCs/>
          <w:color w:val="auto"/>
          <w:lang w:eastAsia="zh-CN"/>
        </w:rPr>
        <w:t>会员如无力实施大会通过的技术决议中某些要求时，须通知秘书长，说明其不能实施是暂时的还是长久的，并陈述其理由</w:t>
      </w:r>
      <w:r>
        <w:rPr>
          <w:rFonts w:hint="eastAsia" w:ascii="宋体" w:hAnsi="宋体" w:eastAsia="宋体" w:cs="宋体"/>
          <w:color w:val="auto"/>
          <w:lang w:eastAsia="zh-CN"/>
        </w:rPr>
        <w:t>”。</w:t>
      </w:r>
    </w:p>
    <w:p>
      <w:pPr>
        <w:tabs>
          <w:tab w:val="left" w:pos="1134"/>
        </w:tabs>
        <w:spacing w:after="240" w:line="240" w:lineRule="exact"/>
        <w:jc w:val="both"/>
        <w:rPr>
          <w:rFonts w:eastAsia="Arial" w:cs="Arial"/>
          <w:color w:val="auto"/>
          <w:lang w:eastAsia="zh-CN"/>
        </w:rPr>
      </w:pPr>
      <w:r>
        <w:fldChar w:fldCharType="begin"/>
      </w:r>
      <w:r>
        <w:instrText xml:space="preserve"> HYPERLINK "https://library.wmo.int/index.php?lvl=notice_display&amp;id=15573" \l ".Y-D3CS9Bybg" </w:instrText>
      </w:r>
      <w:r>
        <w:fldChar w:fldCharType="separate"/>
      </w:r>
      <w:r>
        <w:rPr>
          <w:rStyle w:val="43"/>
          <w:rFonts w:hint="eastAsia" w:ascii="宋体" w:hAnsi="宋体" w:eastAsia="宋体" w:cs="宋体"/>
          <w:lang w:eastAsia="zh-CN"/>
        </w:rPr>
        <w:t>《技术规则》</w:t>
      </w:r>
      <w:r>
        <w:rPr>
          <w:rStyle w:val="43"/>
          <w:rFonts w:hint="eastAsia" w:ascii="宋体" w:hAnsi="宋体" w:eastAsia="宋体" w:cs="宋体"/>
          <w:lang w:eastAsia="zh-CN"/>
        </w:rPr>
        <w:fldChar w:fldCharType="end"/>
      </w:r>
      <w:r>
        <w:rPr>
          <w:rFonts w:hint="eastAsia" w:ascii="宋体" w:hAnsi="宋体" w:eastAsia="宋体" w:cs="宋体"/>
          <w:color w:val="auto"/>
          <w:lang w:eastAsia="zh-CN"/>
        </w:rPr>
        <w:t>（</w:t>
      </w:r>
      <w:r>
        <w:rPr>
          <w:rFonts w:eastAsia="宋体" w:cs="Verdana"/>
          <w:color w:val="auto"/>
          <w:lang w:eastAsia="zh-CN"/>
        </w:rPr>
        <w:t>WMO</w:t>
      </w:r>
      <w:r>
        <w:rPr>
          <w:rFonts w:eastAsia="宋体" w:cs="Verdana"/>
          <w:color w:val="auto"/>
          <w:lang w:val="en-US" w:eastAsia="zh-CN"/>
        </w:rPr>
        <w:t>-</w:t>
      </w:r>
      <w:r>
        <w:rPr>
          <w:rFonts w:eastAsia="宋体" w:cs="Verdana"/>
          <w:color w:val="auto"/>
          <w:lang w:eastAsia="zh-CN"/>
        </w:rPr>
        <w:t>No. 49</w:t>
      </w:r>
      <w:r>
        <w:rPr>
          <w:rFonts w:hint="eastAsia" w:ascii="宋体" w:hAnsi="宋体" w:eastAsia="宋体" w:cs="宋体"/>
          <w:color w:val="auto"/>
          <w:lang w:eastAsia="zh-CN"/>
        </w:rPr>
        <w:t>）第一卷总则的第</w:t>
      </w:r>
      <w:r>
        <w:rPr>
          <w:rFonts w:eastAsia="宋体" w:cs="Verdana"/>
          <w:color w:val="auto"/>
          <w:lang w:eastAsia="zh-CN"/>
        </w:rPr>
        <w:t>6</w:t>
      </w:r>
      <w:r>
        <w:rPr>
          <w:rFonts w:hint="eastAsia" w:ascii="宋体" w:hAnsi="宋体" w:eastAsia="宋体" w:cs="宋体"/>
          <w:color w:val="auto"/>
          <w:lang w:eastAsia="zh-CN"/>
        </w:rPr>
        <w:t>段规定，</w:t>
      </w:r>
      <w:r>
        <w:rPr>
          <w:rFonts w:hint="eastAsia" w:ascii="宋体" w:hAnsi="宋体" w:eastAsia="宋体" w:cs="宋体"/>
          <w:i/>
          <w:iCs/>
          <w:color w:val="auto"/>
          <w:lang w:eastAsia="zh-CN"/>
        </w:rPr>
        <w:t>根据上述定义，各会员应尽最大努力实施标准做法和程序。根据《</w:t>
      </w:r>
      <w:r>
        <w:rPr>
          <w:rFonts w:eastAsia="宋体" w:cs="Verdana"/>
          <w:i/>
          <w:iCs/>
          <w:color w:val="auto"/>
          <w:lang w:eastAsia="zh-CN"/>
        </w:rPr>
        <w:t>WMO</w:t>
      </w:r>
      <w:r>
        <w:rPr>
          <w:rFonts w:hint="eastAsia" w:ascii="宋体" w:hAnsi="宋体" w:eastAsia="宋体" w:cs="宋体"/>
          <w:i/>
          <w:iCs/>
          <w:color w:val="auto"/>
          <w:lang w:eastAsia="zh-CN"/>
        </w:rPr>
        <w:t>公约》第</w:t>
      </w:r>
      <w:r>
        <w:rPr>
          <w:rFonts w:eastAsia="宋体" w:cs="Verdana"/>
          <w:i/>
          <w:iCs/>
          <w:color w:val="auto"/>
          <w:lang w:eastAsia="zh-CN"/>
        </w:rPr>
        <w:t>9</w:t>
      </w:r>
      <w:r>
        <w:rPr>
          <w:rFonts w:hint="eastAsia" w:ascii="宋体" w:hAnsi="宋体" w:eastAsia="宋体" w:cs="宋体"/>
          <w:i/>
          <w:iCs/>
          <w:color w:val="auto"/>
          <w:lang w:eastAsia="zh-CN"/>
        </w:rPr>
        <w:t>条</w:t>
      </w:r>
      <w:r>
        <w:rPr>
          <w:rFonts w:eastAsia="宋体" w:cs="Verdana"/>
          <w:i/>
          <w:iCs/>
          <w:color w:val="auto"/>
          <w:lang w:eastAsia="zh-CN"/>
        </w:rPr>
        <w:t>b</w:t>
      </w:r>
      <w:r>
        <w:rPr>
          <w:rFonts w:hint="eastAsia" w:ascii="宋体" w:hAnsi="宋体" w:eastAsia="宋体" w:cs="宋体"/>
          <w:i/>
          <w:iCs/>
          <w:color w:val="auto"/>
          <w:lang w:eastAsia="zh-CN"/>
        </w:rPr>
        <w:t>款并按照总则第</w:t>
      </w:r>
      <w:r>
        <w:rPr>
          <w:rFonts w:eastAsia="宋体" w:cs="Verdana"/>
          <w:i/>
          <w:iCs/>
          <w:color w:val="auto"/>
          <w:lang w:eastAsia="zh-CN"/>
        </w:rPr>
        <w:t>101</w:t>
      </w:r>
      <w:r>
        <w:rPr>
          <w:rFonts w:hint="eastAsia" w:ascii="宋体" w:hAnsi="宋体" w:eastAsia="宋体" w:cs="宋体"/>
          <w:i/>
          <w:iCs/>
          <w:color w:val="auto"/>
          <w:lang w:eastAsia="zh-CN"/>
        </w:rPr>
        <w:t>条，会员须以书面形式将其愿采用《技术规则》标准做法和程序的意愿正式通知秘书长，但对他们已明确提出特定异议的除外。会员还须如先前的通知，至少提前三个月告知秘书长其执行某标准做法或程序的变化程度以及这些变化的生效日期。</w:t>
      </w:r>
    </w:p>
    <w:p>
      <w:pPr>
        <w:tabs>
          <w:tab w:val="left" w:pos="1134"/>
        </w:tabs>
        <w:spacing w:after="240" w:line="240" w:lineRule="exact"/>
        <w:jc w:val="both"/>
        <w:rPr>
          <w:rFonts w:ascii="宋体" w:hAnsi="宋体" w:eastAsia="宋体" w:cs="宋体"/>
          <w:color w:val="auto"/>
          <w:lang w:eastAsia="zh-CN"/>
        </w:rPr>
      </w:pPr>
      <w:r>
        <w:rPr>
          <w:rFonts w:hint="eastAsia" w:ascii="宋体" w:hAnsi="宋体" w:eastAsia="宋体" w:cs="宋体"/>
          <w:color w:val="auto"/>
          <w:lang w:eastAsia="zh-CN"/>
        </w:rPr>
        <w:t>因此，会员援引第</w:t>
      </w:r>
      <w:r>
        <w:rPr>
          <w:rFonts w:eastAsia="宋体" w:cs="Verdana"/>
          <w:color w:val="auto"/>
          <w:lang w:eastAsia="zh-CN"/>
        </w:rPr>
        <w:t>9</w:t>
      </w:r>
      <w:r>
        <w:rPr>
          <w:rFonts w:hint="eastAsia" w:ascii="宋体" w:hAnsi="宋体" w:eastAsia="宋体" w:cs="宋体"/>
          <w:color w:val="auto"/>
          <w:lang w:eastAsia="zh-CN"/>
        </w:rPr>
        <w:t>条</w:t>
      </w:r>
      <w:r>
        <w:rPr>
          <w:rFonts w:eastAsia="宋体" w:cs="Verdana"/>
          <w:color w:val="auto"/>
          <w:lang w:eastAsia="zh-CN"/>
        </w:rPr>
        <w:t>b</w:t>
      </w:r>
      <w:r>
        <w:rPr>
          <w:rFonts w:hint="eastAsia" w:ascii="宋体" w:hAnsi="宋体" w:eastAsia="宋体" w:cs="宋体"/>
          <w:color w:val="auto"/>
          <w:lang w:eastAsia="zh-CN"/>
        </w:rPr>
        <w:t>款</w:t>
      </w:r>
      <w:r>
        <w:rPr>
          <w:rStyle w:val="45"/>
          <w:rFonts w:eastAsia="宋体" w:cs="Verdana"/>
          <w:color w:val="auto"/>
          <w:lang w:eastAsia="en-US"/>
        </w:rPr>
        <w:footnoteReference w:id="11"/>
      </w:r>
      <w:r>
        <w:rPr>
          <w:rFonts w:hint="eastAsia" w:ascii="宋体" w:hAnsi="宋体" w:eastAsia="宋体" w:cs="宋体"/>
          <w:color w:val="auto"/>
          <w:lang w:eastAsia="zh-CN"/>
        </w:rPr>
        <w:t>寻求豁免的条件和标准，以及援引该条款对会员合规状态的影响如下：</w:t>
      </w:r>
    </w:p>
    <w:p>
      <w:pPr>
        <w:pStyle w:val="318"/>
        <w:numPr>
          <w:ilvl w:val="0"/>
          <w:numId w:val="4"/>
        </w:numPr>
        <w:tabs>
          <w:tab w:val="left" w:pos="1134"/>
        </w:tabs>
        <w:spacing w:after="240" w:line="240" w:lineRule="exact"/>
        <w:ind w:left="567" w:hanging="567"/>
        <w:jc w:val="both"/>
        <w:rPr>
          <w:rFonts w:ascii="宋体" w:hAnsi="宋体" w:cs="宋体"/>
          <w:color w:val="auto"/>
          <w:sz w:val="20"/>
          <w:szCs w:val="20"/>
          <w:lang w:val="en-GB" w:eastAsia="zh-CN"/>
        </w:rPr>
      </w:pPr>
      <w:r>
        <w:rPr>
          <w:rFonts w:hint="eastAsia" w:ascii="宋体" w:hAnsi="宋体" w:cs="宋体"/>
          <w:color w:val="auto"/>
          <w:sz w:val="20"/>
          <w:szCs w:val="20"/>
          <w:lang w:val="en-GB" w:eastAsia="zh-CN"/>
        </w:rPr>
        <w:t>若有会员援引第</w:t>
      </w:r>
      <w:r>
        <w:rPr>
          <w:rFonts w:ascii="Verdana" w:hAnsi="Verdana" w:cs="Verdana"/>
          <w:color w:val="auto"/>
          <w:sz w:val="20"/>
          <w:szCs w:val="20"/>
          <w:lang w:val="en-GB" w:eastAsia="zh-CN"/>
        </w:rPr>
        <w:t>9</w:t>
      </w:r>
      <w:r>
        <w:rPr>
          <w:rFonts w:hint="eastAsia" w:ascii="宋体" w:hAnsi="宋体" w:cs="宋体"/>
          <w:color w:val="auto"/>
          <w:sz w:val="20"/>
          <w:szCs w:val="20"/>
          <w:lang w:val="en-GB" w:eastAsia="zh-CN"/>
        </w:rPr>
        <w:t>条</w:t>
      </w:r>
      <w:r>
        <w:rPr>
          <w:rFonts w:ascii="Verdana" w:hAnsi="Verdana" w:cs="Verdana"/>
          <w:color w:val="auto"/>
          <w:sz w:val="20"/>
          <w:szCs w:val="20"/>
          <w:lang w:val="en-GB" w:eastAsia="zh-CN"/>
        </w:rPr>
        <w:t>b</w:t>
      </w:r>
      <w:r>
        <w:rPr>
          <w:rFonts w:hint="eastAsia" w:ascii="宋体" w:hAnsi="宋体" w:cs="宋体"/>
          <w:color w:val="auto"/>
          <w:sz w:val="20"/>
          <w:szCs w:val="20"/>
          <w:lang w:val="en-GB" w:eastAsia="zh-CN"/>
        </w:rPr>
        <w:t>款来寻求对</w:t>
      </w:r>
      <w:r>
        <w:rPr>
          <w:rFonts w:ascii="Verdana" w:hAnsi="Verdana" w:cs="Verdana"/>
          <w:color w:val="auto"/>
          <w:sz w:val="20"/>
          <w:szCs w:val="20"/>
          <w:lang w:val="en-GB" w:eastAsia="zh-CN"/>
        </w:rPr>
        <w:t>GBON</w:t>
      </w:r>
      <w:r>
        <w:rPr>
          <w:rFonts w:hint="eastAsia" w:ascii="宋体" w:hAnsi="宋体" w:cs="宋体"/>
          <w:color w:val="auto"/>
          <w:sz w:val="20"/>
          <w:szCs w:val="20"/>
          <w:lang w:val="en-GB" w:eastAsia="zh-CN"/>
        </w:rPr>
        <w:t>水平分辨率要求的豁免，则应明确说明豁免原因、哪一部分领土寻求豁免、其余部分领土能在多大程度上达到水平分辨率要求、寻求的豁免期限，以及是否有计划改善相关情况。</w:t>
      </w:r>
    </w:p>
    <w:p>
      <w:pPr>
        <w:pStyle w:val="318"/>
        <w:numPr>
          <w:ilvl w:val="0"/>
          <w:numId w:val="4"/>
        </w:numPr>
        <w:tabs>
          <w:tab w:val="left" w:pos="1134"/>
        </w:tabs>
        <w:spacing w:after="240" w:line="240" w:lineRule="exact"/>
        <w:ind w:left="567" w:hanging="567"/>
        <w:jc w:val="both"/>
        <w:rPr>
          <w:rFonts w:ascii="宋体" w:hAnsi="宋体" w:cs="宋体"/>
          <w:color w:val="auto"/>
          <w:sz w:val="20"/>
          <w:szCs w:val="20"/>
          <w:lang w:val="en-GB" w:eastAsia="zh-CN"/>
        </w:rPr>
      </w:pPr>
      <w:r>
        <w:rPr>
          <w:rFonts w:hint="eastAsia" w:ascii="宋体" w:hAnsi="宋体" w:cs="宋体"/>
          <w:color w:val="auto"/>
          <w:sz w:val="20"/>
          <w:szCs w:val="20"/>
          <w:lang w:val="en-GB" w:eastAsia="zh-CN"/>
        </w:rPr>
        <w:t>若有会员援引第</w:t>
      </w:r>
      <w:r>
        <w:rPr>
          <w:rFonts w:ascii="Verdana" w:hAnsi="Verdana" w:cs="Verdana"/>
          <w:color w:val="auto"/>
          <w:sz w:val="20"/>
          <w:szCs w:val="20"/>
          <w:lang w:val="en-GB" w:eastAsia="zh-CN"/>
        </w:rPr>
        <w:t>9</w:t>
      </w:r>
      <w:r>
        <w:rPr>
          <w:rFonts w:hint="eastAsia" w:ascii="宋体" w:hAnsi="宋体" w:cs="宋体"/>
          <w:color w:val="auto"/>
          <w:sz w:val="20"/>
          <w:szCs w:val="20"/>
          <w:lang w:val="en-GB" w:eastAsia="zh-CN"/>
        </w:rPr>
        <w:t>条</w:t>
      </w:r>
      <w:r>
        <w:rPr>
          <w:rFonts w:ascii="Verdana" w:hAnsi="Verdana" w:cs="Verdana"/>
          <w:color w:val="auto"/>
          <w:sz w:val="20"/>
          <w:szCs w:val="20"/>
          <w:lang w:val="en-GB" w:eastAsia="zh-CN"/>
        </w:rPr>
        <w:t>b</w:t>
      </w:r>
      <w:r>
        <w:rPr>
          <w:rFonts w:hint="eastAsia" w:ascii="宋体" w:hAnsi="宋体" w:cs="宋体"/>
          <w:color w:val="auto"/>
          <w:sz w:val="20"/>
          <w:szCs w:val="20"/>
          <w:lang w:val="en-GB" w:eastAsia="zh-CN"/>
        </w:rPr>
        <w:t>款来寻求对</w:t>
      </w:r>
      <w:r>
        <w:rPr>
          <w:rFonts w:ascii="Verdana" w:hAnsi="Verdana" w:cs="Verdana"/>
          <w:color w:val="auto"/>
          <w:sz w:val="20"/>
          <w:szCs w:val="20"/>
          <w:lang w:val="en-GB" w:eastAsia="zh-CN"/>
        </w:rPr>
        <w:t>GBON</w:t>
      </w:r>
      <w:r>
        <w:rPr>
          <w:rFonts w:hint="eastAsia" w:ascii="宋体" w:hAnsi="宋体" w:cs="宋体"/>
          <w:color w:val="auto"/>
          <w:sz w:val="20"/>
          <w:szCs w:val="20"/>
          <w:lang w:val="en-GB" w:eastAsia="zh-CN"/>
        </w:rPr>
        <w:t>时间分辨率要求的豁免，则应明确指出其</w:t>
      </w:r>
      <w:r>
        <w:rPr>
          <w:rFonts w:ascii="Verdana" w:hAnsi="Verdana" w:cs="Verdana"/>
          <w:color w:val="auto"/>
          <w:sz w:val="20"/>
          <w:szCs w:val="20"/>
          <w:lang w:val="en-GB" w:eastAsia="zh-CN"/>
        </w:rPr>
        <w:t>GBON</w:t>
      </w:r>
      <w:r>
        <w:rPr>
          <w:rFonts w:hint="eastAsia" w:ascii="宋体" w:hAnsi="宋体" w:cs="宋体"/>
          <w:color w:val="auto"/>
          <w:sz w:val="20"/>
          <w:szCs w:val="20"/>
          <w:lang w:val="en-GB" w:eastAsia="zh-CN"/>
        </w:rPr>
        <w:t>观测台站中的哪些子集达不到时间分辨率要求、达不到要求的原因、寻求的豁免期限，以及是否有计划改善相关情况。</w:t>
      </w:r>
    </w:p>
    <w:p>
      <w:pPr>
        <w:tabs>
          <w:tab w:val="left" w:pos="1134"/>
        </w:tabs>
        <w:spacing w:after="240" w:line="240" w:lineRule="exact"/>
        <w:jc w:val="both"/>
        <w:rPr>
          <w:rFonts w:eastAsia="Arial" w:cs="Arial"/>
          <w:color w:val="auto"/>
          <w:lang w:eastAsia="zh-CN"/>
        </w:rPr>
      </w:pPr>
      <w:r>
        <w:rPr>
          <w:rFonts w:hint="eastAsia" w:ascii="宋体" w:hAnsi="宋体" w:eastAsia="宋体" w:cs="宋体"/>
          <w:color w:val="auto"/>
          <w:lang w:eastAsia="zh-CN"/>
        </w:rPr>
        <w:t>由</w:t>
      </w:r>
      <w:r>
        <w:rPr>
          <w:rFonts w:hint="eastAsia" w:eastAsia="Arial" w:cs="Arial"/>
          <w:color w:val="auto"/>
          <w:lang w:eastAsia="zh-CN"/>
        </w:rPr>
        <w:t>INFCOM</w:t>
      </w:r>
      <w:r>
        <w:rPr>
          <w:rFonts w:hint="eastAsia" w:ascii="宋体" w:hAnsi="宋体" w:eastAsia="宋体" w:cs="宋体"/>
          <w:color w:val="auto"/>
          <w:lang w:eastAsia="zh-CN"/>
        </w:rPr>
        <w:t>主席与</w:t>
      </w:r>
      <w:r>
        <w:rPr>
          <w:rFonts w:hint="eastAsia" w:eastAsia="Arial" w:cs="Arial"/>
          <w:color w:val="auto"/>
          <w:lang w:eastAsia="zh-CN"/>
        </w:rPr>
        <w:t>INFCOM</w:t>
      </w:r>
      <w:r>
        <w:rPr>
          <w:rFonts w:hint="eastAsia" w:ascii="宋体" w:hAnsi="宋体" w:eastAsia="宋体" w:cs="宋体"/>
          <w:color w:val="auto"/>
          <w:lang w:eastAsia="zh-CN"/>
        </w:rPr>
        <w:t>管理组协商后指定的独立专家委员会，将根据以下标准评估援引第</w:t>
      </w:r>
      <w:r>
        <w:rPr>
          <w:rFonts w:hint="eastAsia" w:eastAsia="Arial" w:cs="Arial"/>
          <w:color w:val="auto"/>
          <w:lang w:eastAsia="zh-CN"/>
        </w:rPr>
        <w:t>9</w:t>
      </w:r>
      <w:r>
        <w:rPr>
          <w:rFonts w:hint="eastAsia" w:ascii="宋体" w:hAnsi="宋体" w:eastAsia="宋体" w:cs="宋体"/>
          <w:color w:val="auto"/>
          <w:lang w:eastAsia="zh-CN"/>
        </w:rPr>
        <w:t>条</w:t>
      </w:r>
      <w:r>
        <w:rPr>
          <w:rFonts w:hint="eastAsia" w:eastAsia="Arial" w:cs="Arial"/>
          <w:color w:val="auto"/>
          <w:lang w:eastAsia="zh-CN"/>
        </w:rPr>
        <w:t>b</w:t>
      </w:r>
      <w:r>
        <w:rPr>
          <w:rFonts w:hint="eastAsia" w:ascii="宋体" w:hAnsi="宋体" w:eastAsia="宋体" w:cs="宋体"/>
          <w:color w:val="auto"/>
          <w:lang w:eastAsia="zh-CN"/>
        </w:rPr>
        <w:t>款的会员是否实现了</w:t>
      </w:r>
      <w:r>
        <w:rPr>
          <w:rFonts w:hint="eastAsia" w:eastAsia="Arial" w:cs="Arial"/>
          <w:color w:val="auto"/>
          <w:lang w:eastAsia="zh-CN"/>
        </w:rPr>
        <w:t>GBON</w:t>
      </w:r>
      <w:r>
        <w:rPr>
          <w:rFonts w:hint="eastAsia" w:ascii="宋体" w:hAnsi="宋体" w:eastAsia="宋体" w:cs="宋体"/>
          <w:color w:val="auto"/>
          <w:lang w:eastAsia="zh-CN"/>
        </w:rPr>
        <w:t>合规：</w:t>
      </w:r>
    </w:p>
    <w:p>
      <w:pPr>
        <w:numPr>
          <w:ilvl w:val="0"/>
          <w:numId w:val="5"/>
        </w:numPr>
        <w:tabs>
          <w:tab w:val="left" w:pos="1134"/>
        </w:tabs>
        <w:spacing w:after="240" w:line="240" w:lineRule="exact"/>
        <w:ind w:left="567" w:hanging="567"/>
        <w:jc w:val="both"/>
        <w:rPr>
          <w:rFonts w:eastAsia="Times New Roman" w:cs="Times New Roman"/>
          <w:color w:val="auto"/>
          <w:lang w:eastAsia="zh-CN"/>
        </w:rPr>
      </w:pPr>
      <w:r>
        <w:rPr>
          <w:rFonts w:hint="eastAsia" w:ascii="宋体" w:hAnsi="宋体" w:eastAsia="宋体" w:cs="宋体"/>
          <w:color w:val="auto"/>
          <w:lang w:eastAsia="zh-CN"/>
        </w:rPr>
        <w:t>会员陈述的理由具有正当性；</w:t>
      </w:r>
    </w:p>
    <w:p>
      <w:pPr>
        <w:numPr>
          <w:ilvl w:val="0"/>
          <w:numId w:val="5"/>
        </w:numPr>
        <w:tabs>
          <w:tab w:val="left" w:pos="1134"/>
        </w:tabs>
        <w:spacing w:after="240" w:line="240" w:lineRule="exact"/>
        <w:ind w:left="567" w:hanging="567"/>
        <w:rPr>
          <w:rFonts w:ascii="宋体" w:hAnsi="宋体" w:eastAsia="宋体" w:cs="宋体"/>
          <w:color w:val="auto"/>
          <w:lang w:eastAsia="zh-CN"/>
        </w:rPr>
      </w:pPr>
      <w:r>
        <w:rPr>
          <w:rFonts w:hint="eastAsia" w:ascii="宋体" w:hAnsi="宋体" w:eastAsia="宋体" w:cs="宋体"/>
          <w:color w:val="auto"/>
          <w:lang w:eastAsia="zh-CN"/>
        </w:rPr>
        <w:t>会员相当大一部分领土符合</w:t>
      </w:r>
      <w:r>
        <w:rPr>
          <w:rFonts w:hint="eastAsia" w:eastAsia="Times New Roman" w:cs="Times New Roman"/>
          <w:color w:val="auto"/>
          <w:lang w:eastAsia="zh-CN"/>
        </w:rPr>
        <w:t>GBON</w:t>
      </w:r>
      <w:r>
        <w:rPr>
          <w:rFonts w:hint="eastAsia" w:ascii="宋体" w:hAnsi="宋体" w:eastAsia="宋体" w:cs="宋体"/>
          <w:color w:val="auto"/>
          <w:lang w:eastAsia="zh-CN"/>
        </w:rPr>
        <w:t>的水平分辨率要求（小国可能是因为纳入了周边国家的台站才满足水平分辨率要求，如果该国至少有一个</w:t>
      </w:r>
      <w:r>
        <w:rPr>
          <w:rFonts w:hint="eastAsia" w:eastAsia="Times New Roman" w:cs="Times New Roman"/>
          <w:color w:val="auto"/>
          <w:lang w:eastAsia="zh-CN"/>
        </w:rPr>
        <w:t>GBON</w:t>
      </w:r>
      <w:r>
        <w:rPr>
          <w:rFonts w:hint="eastAsia" w:ascii="宋体" w:hAnsi="宋体" w:eastAsia="宋体" w:cs="宋体"/>
          <w:color w:val="auto"/>
          <w:lang w:eastAsia="zh-CN"/>
        </w:rPr>
        <w:t>观测站，便仍可视为</w:t>
      </w:r>
      <w:r>
        <w:rPr>
          <w:rFonts w:hint="eastAsia" w:eastAsia="Times New Roman" w:cs="Times New Roman"/>
          <w:color w:val="auto"/>
          <w:lang w:eastAsia="zh-CN"/>
        </w:rPr>
        <w:t>GBON</w:t>
      </w:r>
      <w:r>
        <w:rPr>
          <w:rFonts w:hint="eastAsia" w:ascii="宋体" w:hAnsi="宋体" w:eastAsia="宋体" w:cs="宋体"/>
          <w:color w:val="auto"/>
          <w:lang w:eastAsia="zh-CN"/>
        </w:rPr>
        <w:t>合规的国家）；</w:t>
      </w:r>
    </w:p>
    <w:p>
      <w:pPr>
        <w:numPr>
          <w:ilvl w:val="0"/>
          <w:numId w:val="5"/>
        </w:numPr>
        <w:tabs>
          <w:tab w:val="left" w:pos="1134"/>
        </w:tabs>
        <w:spacing w:after="240" w:line="240" w:lineRule="exact"/>
        <w:ind w:left="567" w:hanging="567"/>
        <w:jc w:val="both"/>
        <w:rPr>
          <w:rFonts w:eastAsia="Times New Roman" w:cs="Times New Roman"/>
          <w:color w:val="auto"/>
          <w:lang w:eastAsia="zh-CN"/>
        </w:rPr>
      </w:pPr>
      <w:r>
        <w:rPr>
          <w:rFonts w:hint="eastAsia" w:ascii="宋体" w:hAnsi="宋体" w:eastAsia="宋体" w:cs="宋体"/>
          <w:color w:val="auto"/>
          <w:lang w:eastAsia="zh-CN"/>
        </w:rPr>
        <w:t>会员的</w:t>
      </w:r>
      <w:r>
        <w:rPr>
          <w:rFonts w:hint="eastAsia" w:eastAsia="Times New Roman" w:cs="Times New Roman"/>
          <w:color w:val="auto"/>
          <w:lang w:eastAsia="zh-CN"/>
        </w:rPr>
        <w:t>GBON</w:t>
      </w:r>
      <w:r>
        <w:rPr>
          <w:rFonts w:hint="eastAsia" w:ascii="宋体" w:hAnsi="宋体" w:eastAsia="宋体" w:cs="宋体"/>
          <w:color w:val="auto"/>
          <w:lang w:eastAsia="zh-CN"/>
        </w:rPr>
        <w:t>台站中有相当多台站符合</w:t>
      </w:r>
      <w:r>
        <w:rPr>
          <w:rFonts w:hint="eastAsia" w:eastAsia="Times New Roman" w:cs="Times New Roman"/>
          <w:color w:val="auto"/>
          <w:lang w:eastAsia="zh-CN"/>
        </w:rPr>
        <w:t>GBON</w:t>
      </w:r>
      <w:r>
        <w:rPr>
          <w:rFonts w:hint="eastAsia" w:ascii="宋体" w:hAnsi="宋体" w:eastAsia="宋体" w:cs="宋体"/>
          <w:color w:val="auto"/>
          <w:lang w:eastAsia="zh-CN"/>
        </w:rPr>
        <w:t>的时间分辨率要求。</w:t>
      </w:r>
    </w:p>
    <w:p>
      <w:pPr>
        <w:pStyle w:val="2"/>
        <w:rPr>
          <w:rFonts w:ascii="宋体" w:hAnsi="宋体" w:eastAsia="宋体" w:cs="宋体"/>
          <w:color w:val="auto"/>
          <w:szCs w:val="20"/>
          <w:lang w:eastAsia="zh-CN"/>
        </w:rPr>
      </w:pPr>
      <w:r>
        <w:rPr>
          <w:rFonts w:hint="eastAsia" w:ascii="宋体" w:hAnsi="宋体" w:eastAsia="宋体" w:cs="宋体"/>
          <w:color w:val="auto"/>
          <w:szCs w:val="20"/>
          <w:lang w:eastAsia="zh-CN"/>
        </w:rPr>
        <w:t>如果专家独立委员会认为会员符合</w:t>
      </w:r>
      <w:r>
        <w:rPr>
          <w:rFonts w:hint="eastAsia" w:eastAsia="Verdana" w:cs="Verdana"/>
          <w:color w:val="auto"/>
          <w:szCs w:val="20"/>
          <w:lang w:eastAsia="zh-CN"/>
        </w:rPr>
        <w:t>GBON</w:t>
      </w:r>
      <w:r>
        <w:rPr>
          <w:rFonts w:hint="eastAsia" w:ascii="宋体" w:hAnsi="宋体" w:eastAsia="宋体" w:cs="宋体"/>
          <w:color w:val="auto"/>
          <w:szCs w:val="20"/>
          <w:lang w:eastAsia="zh-CN"/>
        </w:rPr>
        <w:t>标准，则其状态将反映在所有会员的总体合规状态中。反之，秘书长将告知会员不合规的结果，并敦促会员采取措施实现合规。</w:t>
      </w:r>
      <w:r>
        <w:rPr>
          <w:rFonts w:hint="eastAsia" w:eastAsia="Verdana" w:cs="Verdana"/>
          <w:color w:val="auto"/>
          <w:szCs w:val="20"/>
          <w:lang w:eastAsia="zh-CN"/>
        </w:rPr>
        <w:t>INFCOM</w:t>
      </w:r>
      <w:r>
        <w:rPr>
          <w:rFonts w:hint="eastAsia" w:ascii="宋体" w:hAnsi="宋体" w:eastAsia="宋体" w:cs="宋体"/>
          <w:color w:val="auto"/>
          <w:szCs w:val="20"/>
          <w:lang w:eastAsia="zh-CN"/>
        </w:rPr>
        <w:t>主席将向执行理事会通报独立委员会的决定。</w:t>
      </w:r>
    </w:p>
    <w:p>
      <w:pPr>
        <w:pStyle w:val="106"/>
        <w:spacing w:before="360" w:after="240" w:line="240" w:lineRule="auto"/>
        <w:outlineLvl w:val="1"/>
        <w:rPr>
          <w:rFonts w:ascii="微软雅黑" w:hAnsi="微软雅黑" w:eastAsia="微软雅黑" w:cs="微软雅黑"/>
          <w:lang w:eastAsia="zh-CN"/>
        </w:rPr>
      </w:pPr>
      <w:bookmarkStart w:id="16" w:name="_p_63CB55FA0D0DCD46A9FCB287D244ACB9"/>
      <w:bookmarkEnd w:id="16"/>
      <w:r>
        <w:rPr>
          <w:lang w:eastAsia="zh-CN"/>
        </w:rPr>
        <w:t xml:space="preserve">5. </w:t>
      </w:r>
      <w:bookmarkStart w:id="17" w:name="_p_3E0C77404B76C34D8D4CF27F7F0FD367"/>
      <w:bookmarkEnd w:id="17"/>
      <w:r>
        <w:rPr>
          <w:lang w:eastAsia="zh-CN"/>
        </w:rPr>
        <w:tab/>
      </w:r>
      <w:r>
        <w:rPr>
          <w:caps w:val="0"/>
          <w:lang w:eastAsia="zh-CN"/>
        </w:rPr>
        <w:t>GBON</w:t>
      </w:r>
      <w:r>
        <w:rPr>
          <w:rFonts w:hint="eastAsia" w:ascii="微软雅黑" w:hAnsi="微软雅黑" w:eastAsia="微软雅黑" w:cs="微软雅黑"/>
          <w:caps w:val="0"/>
          <w:lang w:eastAsia="zh-CN"/>
        </w:rPr>
        <w:t>的管理</w:t>
      </w:r>
    </w:p>
    <w:p>
      <w:pPr>
        <w:pStyle w:val="318"/>
        <w:spacing w:before="240" w:after="240" w:line="240" w:lineRule="auto"/>
        <w:ind w:left="357" w:hanging="357"/>
        <w:outlineLvl w:val="2"/>
        <w:rPr>
          <w:rFonts w:ascii="微软雅黑" w:hAnsi="微软雅黑" w:eastAsia="微软雅黑" w:cs="微软雅黑"/>
          <w:b/>
          <w:bCs/>
          <w:sz w:val="20"/>
          <w:szCs w:val="20"/>
          <w:lang w:val="en-US" w:eastAsia="zh-CN"/>
        </w:rPr>
      </w:pPr>
      <w:bookmarkStart w:id="18" w:name="_p_D20CACA7A6A49545B0B9B144A05D3AC4"/>
      <w:bookmarkEnd w:id="18"/>
      <w:bookmarkStart w:id="19" w:name="_Hlk115787377"/>
      <w:r>
        <w:rPr>
          <w:rFonts w:ascii="Verdana" w:hAnsi="Verdana"/>
          <w:b/>
          <w:bCs/>
          <w:sz w:val="20"/>
          <w:szCs w:val="20"/>
          <w:lang w:val="en-GB" w:eastAsia="zh-CN"/>
        </w:rPr>
        <w:t>5.1</w:t>
      </w:r>
      <w:r>
        <w:rPr>
          <w:rFonts w:ascii="Verdana" w:hAnsi="Verdana"/>
          <w:b/>
          <w:bCs/>
          <w:sz w:val="20"/>
          <w:szCs w:val="20"/>
          <w:lang w:val="en-GB" w:eastAsia="zh-CN"/>
        </w:rPr>
        <w:tab/>
      </w:r>
      <w:r>
        <w:rPr>
          <w:rFonts w:ascii="Verdana" w:hAnsi="Verdana"/>
          <w:b/>
          <w:bCs/>
          <w:sz w:val="20"/>
          <w:szCs w:val="20"/>
          <w:lang w:val="en-GB" w:eastAsia="zh-CN"/>
        </w:rPr>
        <w:tab/>
      </w:r>
      <w:r>
        <w:rPr>
          <w:rFonts w:hint="eastAsia" w:ascii="微软雅黑" w:hAnsi="微软雅黑" w:eastAsia="微软雅黑" w:cs="微软雅黑"/>
          <w:b/>
          <w:bCs/>
          <w:sz w:val="20"/>
          <w:szCs w:val="20"/>
          <w:lang w:val="en-GB" w:eastAsia="zh-CN"/>
        </w:rPr>
        <w:t>作用和</w:t>
      </w:r>
      <w:r>
        <w:rPr>
          <w:rFonts w:hint="eastAsia" w:ascii="微软雅黑" w:hAnsi="微软雅黑" w:eastAsia="微软雅黑" w:cs="微软雅黑"/>
          <w:b/>
          <w:bCs/>
          <w:sz w:val="20"/>
          <w:szCs w:val="20"/>
          <w:lang w:val="en-US" w:eastAsia="zh-CN"/>
        </w:rPr>
        <w:t>责任</w:t>
      </w:r>
    </w:p>
    <w:bookmarkEnd w:id="19"/>
    <w:p>
      <w:pPr>
        <w:spacing w:after="240" w:line="240" w:lineRule="exact"/>
        <w:rPr>
          <w:lang w:eastAsia="zh-CN"/>
        </w:rPr>
      </w:pPr>
      <w:r>
        <w:rPr>
          <w:rFonts w:hint="eastAsia" w:ascii="宋体" w:hAnsi="宋体" w:eastAsia="宋体" w:cs="宋体"/>
          <w:lang w:eastAsia="zh-CN"/>
        </w:rPr>
        <w:t>下表</w:t>
      </w:r>
      <w:r>
        <w:rPr>
          <w:rFonts w:hint="eastAsia" w:eastAsia="Calibri" w:cs="Calibri"/>
          <w:lang w:eastAsia="zh-CN"/>
        </w:rPr>
        <w:t>5.1</w:t>
      </w:r>
      <w:r>
        <w:rPr>
          <w:rFonts w:hint="eastAsia" w:ascii="宋体" w:hAnsi="宋体" w:eastAsia="宋体" w:cs="宋体"/>
          <w:lang w:eastAsia="zh-CN"/>
        </w:rPr>
        <w:t>说明了主要利益相关方在确定</w:t>
      </w:r>
      <w:r>
        <w:rPr>
          <w:rFonts w:hint="eastAsia" w:eastAsia="Calibri" w:cs="Calibri"/>
          <w:lang w:eastAsia="zh-CN"/>
        </w:rPr>
        <w:t>GBON</w:t>
      </w:r>
      <w:r>
        <w:rPr>
          <w:rFonts w:hint="eastAsia" w:ascii="宋体" w:hAnsi="宋体" w:eastAsia="宋体" w:cs="宋体"/>
          <w:lang w:eastAsia="zh-CN"/>
        </w:rPr>
        <w:t>初步台站列表中的作用和责任。国家联络人的责任详见</w:t>
      </w:r>
      <w:r>
        <w:fldChar w:fldCharType="begin"/>
      </w:r>
      <w:r>
        <w:instrText xml:space="preserve"> HYPERLINK "https://library.wmo.int/index.php?lvl=notice_display&amp;id=20135" \l ".Y-HbBi9Bybg" </w:instrText>
      </w:r>
      <w:r>
        <w:fldChar w:fldCharType="separate"/>
      </w:r>
      <w:r>
        <w:rPr>
          <w:rStyle w:val="43"/>
          <w:rFonts w:hint="eastAsia" w:ascii="宋体" w:hAnsi="宋体" w:eastAsia="宋体" w:cs="宋体"/>
          <w:lang w:eastAsia="zh-CN"/>
        </w:rPr>
        <w:t>《</w:t>
      </w:r>
      <w:r>
        <w:rPr>
          <w:rStyle w:val="43"/>
          <w:rFonts w:hint="eastAsia" w:eastAsia="Calibri" w:cs="Calibri"/>
          <w:lang w:eastAsia="zh-CN"/>
        </w:rPr>
        <w:t>WMO</w:t>
      </w:r>
      <w:r>
        <w:rPr>
          <w:rStyle w:val="43"/>
          <w:rFonts w:hint="eastAsia" w:ascii="宋体" w:hAnsi="宋体" w:eastAsia="宋体" w:cs="宋体"/>
          <w:lang w:eastAsia="zh-CN"/>
        </w:rPr>
        <w:t>全球综合观测系统指南》</w:t>
      </w:r>
      <w:r>
        <w:rPr>
          <w:rStyle w:val="43"/>
          <w:rFonts w:hint="eastAsia" w:ascii="宋体" w:hAnsi="宋体" w:eastAsia="宋体" w:cs="宋体"/>
          <w:lang w:eastAsia="zh-CN"/>
        </w:rPr>
        <w:fldChar w:fldCharType="end"/>
      </w:r>
      <w:r>
        <w:rPr>
          <w:rFonts w:hint="eastAsia" w:ascii="宋体" w:hAnsi="宋体" w:eastAsia="宋体" w:cs="宋体"/>
          <w:lang w:eastAsia="zh-CN"/>
        </w:rPr>
        <w:t>（</w:t>
      </w:r>
      <w:r>
        <w:rPr>
          <w:rFonts w:hint="eastAsia" w:eastAsia="Calibri" w:cs="Calibri"/>
          <w:lang w:eastAsia="zh-CN"/>
        </w:rPr>
        <w:t>WMO</w:t>
      </w:r>
      <w:r>
        <w:rPr>
          <w:rFonts w:hint="eastAsia" w:eastAsia="宋体" w:cs="Calibri"/>
          <w:lang w:val="en-US" w:eastAsia="zh-CN"/>
        </w:rPr>
        <w:t>-</w:t>
      </w:r>
      <w:r>
        <w:rPr>
          <w:rFonts w:hint="eastAsia" w:eastAsia="Calibri" w:cs="Calibri"/>
          <w:lang w:eastAsia="zh-CN"/>
        </w:rPr>
        <w:t>No. 1165</w:t>
      </w:r>
      <w:r>
        <w:rPr>
          <w:rFonts w:hint="eastAsia" w:ascii="宋体" w:hAnsi="宋体" w:eastAsia="宋体" w:cs="宋体"/>
          <w:lang w:eastAsia="zh-CN"/>
        </w:rPr>
        <w:t>）第</w:t>
      </w:r>
      <w:r>
        <w:rPr>
          <w:rFonts w:hint="eastAsia" w:eastAsia="Calibri" w:cs="Calibri"/>
          <w:lang w:eastAsia="zh-CN"/>
        </w:rPr>
        <w:t>6</w:t>
      </w:r>
      <w:r>
        <w:rPr>
          <w:rFonts w:hint="eastAsia" w:ascii="宋体" w:hAnsi="宋体" w:eastAsia="宋体" w:cs="宋体"/>
          <w:lang w:eastAsia="zh-CN"/>
        </w:rPr>
        <w:t>章附件</w:t>
      </w:r>
      <w:r>
        <w:rPr>
          <w:rFonts w:hint="eastAsia" w:eastAsia="Calibri" w:cs="Calibri"/>
          <w:lang w:eastAsia="zh-CN"/>
        </w:rPr>
        <w:t>1</w:t>
      </w:r>
      <w:r>
        <w:rPr>
          <w:rFonts w:hint="eastAsia" w:ascii="宋体" w:hAnsi="宋体" w:eastAsia="宋体" w:cs="宋体"/>
          <w:lang w:eastAsia="zh-CN"/>
        </w:rPr>
        <w:t>。</w:t>
      </w:r>
    </w:p>
    <w:p>
      <w:pPr>
        <w:spacing w:after="240" w:line="240" w:lineRule="exact"/>
        <w:jc w:val="center"/>
        <w:rPr>
          <w:b/>
          <w:bCs/>
          <w:lang w:eastAsia="zh-CN"/>
        </w:rPr>
      </w:pPr>
      <w:r>
        <w:rPr>
          <w:rFonts w:hint="eastAsia" w:ascii="微软雅黑" w:hAnsi="微软雅黑" w:eastAsia="微软雅黑" w:cs="微软雅黑"/>
          <w:b/>
          <w:bCs/>
          <w:lang w:val="en-US" w:eastAsia="zh-CN"/>
        </w:rPr>
        <w:t>表</w:t>
      </w:r>
      <w:r>
        <w:rPr>
          <w:b/>
          <w:bCs/>
          <w:lang w:eastAsia="zh-CN"/>
        </w:rPr>
        <w:t>5.1</w:t>
      </w:r>
      <w:r>
        <w:rPr>
          <w:rFonts w:hint="eastAsia" w:ascii="微软雅黑" w:hAnsi="微软雅黑" w:eastAsia="微软雅黑" w:cs="微软雅黑"/>
          <w:b/>
          <w:bCs/>
          <w:lang w:eastAsia="zh-CN"/>
        </w:rPr>
        <w:t>：主要利益相关方在确定</w:t>
      </w:r>
      <w:r>
        <w:rPr>
          <w:rFonts w:hint="eastAsia"/>
          <w:b/>
          <w:bCs/>
          <w:lang w:eastAsia="zh-CN"/>
        </w:rPr>
        <w:t>GBON</w:t>
      </w:r>
      <w:r>
        <w:rPr>
          <w:rFonts w:hint="eastAsia" w:ascii="微软雅黑" w:hAnsi="微软雅黑" w:eastAsia="微软雅黑" w:cs="微软雅黑"/>
          <w:b/>
          <w:bCs/>
          <w:lang w:eastAsia="zh-CN"/>
        </w:rPr>
        <w:t>初步台站列表（</w:t>
      </w:r>
      <w:r>
        <w:rPr>
          <w:rFonts w:hint="eastAsia"/>
          <w:b/>
          <w:bCs/>
          <w:lang w:eastAsia="zh-CN"/>
        </w:rPr>
        <w:t>2023</w:t>
      </w:r>
      <w:r>
        <w:rPr>
          <w:rFonts w:hint="eastAsia" w:ascii="微软雅黑" w:hAnsi="微软雅黑" w:eastAsia="微软雅黑" w:cs="微软雅黑"/>
          <w:b/>
          <w:bCs/>
          <w:lang w:eastAsia="zh-CN"/>
        </w:rPr>
        <w:t>年</w:t>
      </w:r>
      <w:r>
        <w:rPr>
          <w:rFonts w:hint="eastAsia"/>
          <w:b/>
          <w:bCs/>
          <w:lang w:eastAsia="zh-CN"/>
        </w:rPr>
        <w:t>1</w:t>
      </w:r>
      <w:r>
        <w:rPr>
          <w:rFonts w:hint="eastAsia" w:ascii="微软雅黑" w:hAnsi="微软雅黑" w:eastAsia="微软雅黑" w:cs="微软雅黑"/>
          <w:b/>
          <w:bCs/>
          <w:lang w:eastAsia="zh-CN"/>
        </w:rPr>
        <w:t>月）时的作用和责任</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349"/>
        <w:gridCol w:w="7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blHeader/>
        </w:trPr>
        <w:tc>
          <w:tcPr>
            <w:tcW w:w="1192" w:type="pct"/>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spacing w:before="120" w:after="120"/>
              <w:jc w:val="center"/>
              <w:rPr>
                <w:rFonts w:ascii="微软雅黑" w:hAnsi="微软雅黑" w:eastAsia="微软雅黑" w:cs="微软雅黑"/>
                <w:b/>
                <w:bCs/>
                <w:sz w:val="20"/>
                <w:szCs w:val="20"/>
                <w:lang w:eastAsia="en-US"/>
              </w:rPr>
            </w:pPr>
            <w:r>
              <w:rPr>
                <w:rFonts w:hint="eastAsia" w:ascii="微软雅黑" w:hAnsi="微软雅黑" w:eastAsia="微软雅黑" w:cs="微软雅黑"/>
                <w:b/>
                <w:bCs/>
                <w:sz w:val="20"/>
                <w:szCs w:val="20"/>
                <w:lang w:eastAsia="en-US"/>
              </w:rPr>
              <w:t>利益相关方或团体</w:t>
            </w:r>
          </w:p>
        </w:tc>
        <w:tc>
          <w:tcPr>
            <w:tcW w:w="3808" w:type="pct"/>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spacing w:before="120" w:after="120"/>
              <w:jc w:val="center"/>
              <w:rPr>
                <w:rFonts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val="en-US" w:eastAsia="zh-CN"/>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192" w:type="pct"/>
            <w:tcBorders>
              <w:top w:val="single" w:color="auto" w:sz="8" w:space="0"/>
              <w:left w:val="single" w:color="auto" w:sz="8" w:space="0"/>
              <w:bottom w:val="single" w:color="auto" w:sz="8" w:space="0"/>
              <w:right w:val="single" w:color="auto" w:sz="8" w:space="0"/>
            </w:tcBorders>
            <w:shd w:val="clear" w:color="auto" w:fill="FFFFFF" w:themeFill="background1"/>
          </w:tcPr>
          <w:p>
            <w:pPr>
              <w:spacing w:before="120" w:after="120"/>
              <w:rPr>
                <w:rFonts w:eastAsia="宋体" w:cs="Calibri"/>
                <w:sz w:val="20"/>
                <w:szCs w:val="20"/>
                <w:lang w:eastAsia="zh-CN"/>
              </w:rPr>
            </w:pPr>
            <w:r>
              <w:rPr>
                <w:rFonts w:hint="eastAsia" w:eastAsia="宋体" w:cs="Calibri"/>
                <w:sz w:val="20"/>
                <w:szCs w:val="20"/>
                <w:lang w:val="en-US" w:eastAsia="zh-CN"/>
              </w:rPr>
              <w:t>会员</w:t>
            </w:r>
          </w:p>
        </w:tc>
        <w:tc>
          <w:tcPr>
            <w:tcW w:w="3808" w:type="pct"/>
            <w:tcBorders>
              <w:top w:val="single" w:color="auto" w:sz="8" w:space="0"/>
              <w:left w:val="single" w:color="auto" w:sz="8" w:space="0"/>
              <w:bottom w:val="single" w:color="auto" w:sz="8" w:space="0"/>
              <w:right w:val="single" w:color="auto" w:sz="8" w:space="0"/>
            </w:tcBorders>
            <w:shd w:val="clear" w:color="auto" w:fill="FFFFFF" w:themeFill="background1"/>
            <w:vAlign w:val="center"/>
          </w:tcPr>
          <w:p>
            <w:pPr>
              <w:pStyle w:val="318"/>
              <w:numPr>
                <w:ilvl w:val="0"/>
                <w:numId w:val="6"/>
              </w:numPr>
              <w:spacing w:before="120" w:after="120" w:line="240" w:lineRule="auto"/>
              <w:ind w:left="426" w:hanging="283"/>
              <w:rPr>
                <w:rFonts w:ascii="Verdana" w:hAnsi="Verdana"/>
                <w:sz w:val="20"/>
                <w:szCs w:val="20"/>
                <w:lang w:val="en-GB" w:eastAsia="zh-CN"/>
              </w:rPr>
            </w:pPr>
            <w:r>
              <w:rPr>
                <w:rFonts w:hint="eastAsia" w:ascii="Verdana" w:hAnsi="Verdana"/>
                <w:sz w:val="20"/>
                <w:szCs w:val="20"/>
                <w:lang w:val="en-GB" w:eastAsia="zh-CN"/>
              </w:rPr>
              <w:t>指定WIGOS、OSCAR/地表和WDQMS国家联络人，并向其简要介绍其在支持GBON实施方面的作用；确保他们在履行职责时得到管理层的适当支持。</w:t>
            </w:r>
          </w:p>
          <w:p>
            <w:pPr>
              <w:pStyle w:val="318"/>
              <w:numPr>
                <w:ilvl w:val="0"/>
                <w:numId w:val="6"/>
              </w:numPr>
              <w:spacing w:before="120" w:after="120" w:line="240" w:lineRule="auto"/>
              <w:ind w:left="426" w:hanging="283"/>
              <w:rPr>
                <w:rFonts w:ascii="Verdana" w:hAnsi="Verdana"/>
                <w:sz w:val="20"/>
                <w:szCs w:val="20"/>
                <w:lang w:val="en-GB" w:eastAsia="zh-CN"/>
              </w:rPr>
            </w:pPr>
            <w:r>
              <w:rPr>
                <w:rFonts w:hint="eastAsia" w:ascii="Verdana" w:hAnsi="Verdana"/>
                <w:sz w:val="20"/>
                <w:szCs w:val="20"/>
                <w:lang w:val="en-GB" w:eastAsia="zh-CN"/>
              </w:rPr>
              <w:t>考虑GBON要求，找机会将台站纳入GBON和缩小已知差距，实施GBON要求，并根据需要采取行动以遵守这些要求。</w:t>
            </w:r>
          </w:p>
          <w:p>
            <w:pPr>
              <w:pStyle w:val="318"/>
              <w:numPr>
                <w:ilvl w:val="0"/>
                <w:numId w:val="6"/>
              </w:numPr>
              <w:spacing w:before="120" w:after="120" w:line="240" w:lineRule="auto"/>
              <w:ind w:left="426" w:hanging="283"/>
              <w:rPr>
                <w:rFonts w:ascii="Verdana" w:hAnsi="Verdana"/>
                <w:sz w:val="20"/>
                <w:szCs w:val="20"/>
                <w:lang w:val="en-GB" w:eastAsia="zh-CN"/>
              </w:rPr>
            </w:pPr>
            <w:r>
              <w:rPr>
                <w:rFonts w:hint="eastAsia" w:ascii="Verdana" w:hAnsi="Verdana"/>
                <w:sz w:val="20"/>
                <w:szCs w:val="20"/>
                <w:lang w:val="en-GB" w:eastAsia="zh-CN"/>
              </w:rPr>
              <w:t>审查GBON合规评估报告，并根据需要采取行动。</w:t>
            </w:r>
          </w:p>
          <w:p>
            <w:pPr>
              <w:pStyle w:val="318"/>
              <w:numPr>
                <w:ilvl w:val="0"/>
                <w:numId w:val="6"/>
              </w:numPr>
              <w:spacing w:before="120" w:after="120" w:line="240" w:lineRule="auto"/>
              <w:ind w:left="426" w:hanging="283"/>
              <w:rPr>
                <w:rFonts w:ascii="Verdana" w:hAnsi="Verdana"/>
                <w:sz w:val="20"/>
                <w:szCs w:val="20"/>
                <w:lang w:val="en-GB" w:eastAsia="zh-CN"/>
              </w:rPr>
            </w:pPr>
            <w:r>
              <w:rPr>
                <w:rFonts w:hint="eastAsia" w:ascii="Verdana" w:hAnsi="Verdana"/>
                <w:sz w:val="20"/>
                <w:szCs w:val="20"/>
                <w:lang w:val="en-GB" w:eastAsia="zh-CN"/>
              </w:rPr>
              <w:t>提名更多的GBON台站，包括例如目前没有向国际报告数据的台站，或伙伴组织的台站，可以在国家一级谈判并建立谅解备忘录（MoU），鼓励将其台站纳入GBON。</w:t>
            </w:r>
          </w:p>
          <w:p>
            <w:pPr>
              <w:pStyle w:val="318"/>
              <w:numPr>
                <w:ilvl w:val="0"/>
                <w:numId w:val="6"/>
              </w:numPr>
              <w:spacing w:before="120" w:after="120" w:line="240" w:lineRule="auto"/>
              <w:ind w:left="426" w:hanging="283"/>
              <w:rPr>
                <w:rFonts w:ascii="Verdana" w:hAnsi="Verdana"/>
                <w:sz w:val="20"/>
                <w:szCs w:val="20"/>
                <w:lang w:val="en-GB" w:eastAsia="zh-CN"/>
              </w:rPr>
            </w:pPr>
            <w:r>
              <w:rPr>
                <w:rFonts w:hint="eastAsia" w:ascii="Verdana" w:hAnsi="Verdana"/>
                <w:sz w:val="20"/>
                <w:szCs w:val="20"/>
                <w:lang w:val="en-GB" w:eastAsia="zh-CN"/>
              </w:rPr>
              <w:t>最不发达国家和小岛屿发展中国家（SIDS）申请SOFF资金。</w:t>
            </w:r>
          </w:p>
          <w:p>
            <w:pPr>
              <w:pStyle w:val="318"/>
              <w:numPr>
                <w:ilvl w:val="0"/>
                <w:numId w:val="6"/>
              </w:numPr>
              <w:spacing w:before="120" w:after="120" w:line="240" w:lineRule="auto"/>
              <w:ind w:left="426" w:hanging="283"/>
              <w:rPr>
                <w:rFonts w:ascii="Verdana" w:hAnsi="Verdana"/>
                <w:sz w:val="20"/>
                <w:szCs w:val="20"/>
                <w:lang w:val="en-GB" w:eastAsia="zh-CN"/>
              </w:rPr>
            </w:pPr>
            <w:r>
              <w:rPr>
                <w:rFonts w:hint="eastAsia" w:ascii="Verdana" w:hAnsi="Verdana"/>
                <w:sz w:val="20"/>
                <w:szCs w:val="20"/>
                <w:lang w:val="en-GB" w:eastAsia="zh-CN"/>
              </w:rPr>
              <w:t>其他发展中国家利用能力发展机会，包括酌情利用SOFF技术支持。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192" w:type="pct"/>
            <w:tcBorders>
              <w:top w:val="single" w:color="auto" w:sz="8" w:space="0"/>
              <w:left w:val="single" w:color="auto" w:sz="8" w:space="0"/>
              <w:bottom w:val="single" w:color="auto" w:sz="8" w:space="0"/>
              <w:right w:val="single" w:color="auto" w:sz="8" w:space="0"/>
            </w:tcBorders>
            <w:shd w:val="clear" w:color="auto" w:fill="FFFFFF" w:themeFill="background1"/>
          </w:tcPr>
          <w:p>
            <w:pPr>
              <w:spacing w:before="120" w:after="120"/>
              <w:rPr>
                <w:rFonts w:eastAsia="Calibri" w:cs="Calibri"/>
                <w:sz w:val="20"/>
                <w:szCs w:val="20"/>
                <w:lang w:eastAsia="zh-CN"/>
              </w:rPr>
            </w:pPr>
            <w:r>
              <w:rPr>
                <w:rFonts w:hint="eastAsia" w:eastAsia="Calibri" w:cs="Calibri"/>
                <w:sz w:val="20"/>
                <w:szCs w:val="20"/>
                <w:lang w:eastAsia="zh-CN"/>
              </w:rPr>
              <w:t>WIGOS</w:t>
            </w:r>
            <w:r>
              <w:rPr>
                <w:rFonts w:hint="eastAsia" w:ascii="宋体" w:hAnsi="宋体" w:eastAsia="宋体" w:cs="宋体"/>
                <w:sz w:val="20"/>
                <w:szCs w:val="20"/>
                <w:lang w:eastAsia="zh-CN"/>
              </w:rPr>
              <w:t>监测中心（为</w:t>
            </w:r>
            <w:r>
              <w:rPr>
                <w:rFonts w:hint="eastAsia" w:eastAsia="Calibri" w:cs="Calibri"/>
                <w:sz w:val="20"/>
                <w:szCs w:val="20"/>
                <w:lang w:eastAsia="zh-CN"/>
              </w:rPr>
              <w:t>WDQMS</w:t>
            </w:r>
            <w:r>
              <w:rPr>
                <w:rFonts w:hint="eastAsia" w:ascii="宋体" w:hAnsi="宋体" w:eastAsia="宋体" w:cs="宋体"/>
                <w:sz w:val="20"/>
                <w:szCs w:val="20"/>
                <w:lang w:eastAsia="zh-CN"/>
              </w:rPr>
              <w:t>做出贡献的全球</w:t>
            </w:r>
            <w:r>
              <w:rPr>
                <w:rFonts w:hint="eastAsia" w:eastAsia="Calibri" w:cs="Calibri"/>
                <w:sz w:val="20"/>
                <w:szCs w:val="20"/>
                <w:lang w:eastAsia="zh-CN"/>
              </w:rPr>
              <w:t>NWP</w:t>
            </w:r>
            <w:r>
              <w:rPr>
                <w:rFonts w:hint="eastAsia" w:ascii="宋体" w:hAnsi="宋体" w:eastAsia="宋体" w:cs="宋体"/>
                <w:sz w:val="20"/>
                <w:szCs w:val="20"/>
                <w:lang w:eastAsia="zh-CN"/>
              </w:rPr>
              <w:t>中心）</w:t>
            </w:r>
          </w:p>
        </w:tc>
        <w:tc>
          <w:tcPr>
            <w:tcW w:w="3808" w:type="pct"/>
            <w:tcBorders>
              <w:top w:val="single" w:color="auto" w:sz="8" w:space="0"/>
              <w:left w:val="single" w:color="auto" w:sz="8" w:space="0"/>
              <w:bottom w:val="single" w:color="auto" w:sz="8" w:space="0"/>
              <w:right w:val="single" w:color="auto" w:sz="8" w:space="0"/>
            </w:tcBorders>
            <w:shd w:val="clear" w:color="auto" w:fill="FFFFFF" w:themeFill="background1"/>
            <w:vAlign w:val="center"/>
          </w:tcPr>
          <w:p>
            <w:pPr>
              <w:pStyle w:val="318"/>
              <w:numPr>
                <w:ilvl w:val="0"/>
                <w:numId w:val="6"/>
              </w:numPr>
              <w:spacing w:before="120" w:after="120" w:line="240" w:lineRule="auto"/>
              <w:ind w:left="426" w:hanging="283"/>
              <w:rPr>
                <w:rFonts w:ascii="Verdana" w:hAnsi="Verdana"/>
                <w:sz w:val="20"/>
                <w:szCs w:val="20"/>
                <w:lang w:val="en-GB" w:eastAsia="zh-CN"/>
              </w:rPr>
            </w:pPr>
            <w:r>
              <w:rPr>
                <w:rFonts w:hint="eastAsia" w:ascii="Verdana" w:hAnsi="Verdana"/>
                <w:sz w:val="20"/>
                <w:szCs w:val="20"/>
                <w:lang w:val="en-GB" w:eastAsia="zh-CN"/>
              </w:rPr>
              <w:t>同化GBON数据，并为WDQMS网络工具提供GBON合规监测所需的信息</w:t>
            </w:r>
            <w:r>
              <w:rPr>
                <w:rFonts w:ascii="Verdana" w:hAnsi="Verdana"/>
                <w:sz w:val="20"/>
                <w:szCs w:val="20"/>
                <w:lang w:val="en-GB"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192" w:type="pct"/>
            <w:tcBorders>
              <w:top w:val="single" w:color="auto" w:sz="8" w:space="0"/>
              <w:left w:val="single" w:color="auto" w:sz="8" w:space="0"/>
              <w:bottom w:val="single" w:color="auto" w:sz="8" w:space="0"/>
              <w:right w:val="single" w:color="auto" w:sz="8" w:space="0"/>
            </w:tcBorders>
            <w:shd w:val="clear" w:color="auto" w:fill="FFFFFF" w:themeFill="background1"/>
          </w:tcPr>
          <w:p>
            <w:pPr>
              <w:spacing w:before="120" w:after="120"/>
              <w:rPr>
                <w:rFonts w:eastAsia="Calibri" w:cs="Calibri"/>
                <w:sz w:val="20"/>
                <w:szCs w:val="20"/>
                <w:lang w:eastAsia="zh-CN"/>
              </w:rPr>
            </w:pPr>
            <w:r>
              <w:rPr>
                <w:rFonts w:eastAsia="Calibri" w:cs="Calibri"/>
                <w:sz w:val="20"/>
                <w:szCs w:val="20"/>
                <w:lang w:eastAsia="zh-CN"/>
              </w:rPr>
              <w:t>WIGOS</w:t>
            </w:r>
            <w:bookmarkStart w:id="20" w:name="OLE_LINK3"/>
            <w:r>
              <w:rPr>
                <w:rFonts w:hint="eastAsia" w:ascii="宋体" w:hAnsi="宋体" w:eastAsia="宋体" w:cs="宋体"/>
                <w:sz w:val="20"/>
                <w:szCs w:val="20"/>
                <w:lang w:eastAsia="zh-CN"/>
              </w:rPr>
              <w:t>国家联络人</w:t>
            </w:r>
            <w:bookmarkEnd w:id="20"/>
          </w:p>
        </w:tc>
        <w:tc>
          <w:tcPr>
            <w:tcW w:w="3808" w:type="pct"/>
            <w:tcBorders>
              <w:top w:val="single" w:color="auto" w:sz="8" w:space="0"/>
              <w:left w:val="single" w:color="auto" w:sz="8" w:space="0"/>
              <w:bottom w:val="single" w:color="auto" w:sz="8" w:space="0"/>
              <w:right w:val="single" w:color="auto" w:sz="8" w:space="0"/>
            </w:tcBorders>
            <w:shd w:val="clear" w:color="auto" w:fill="FFFFFF" w:themeFill="background1"/>
            <w:vAlign w:val="center"/>
          </w:tcPr>
          <w:p>
            <w:pPr>
              <w:pStyle w:val="318"/>
              <w:numPr>
                <w:ilvl w:val="0"/>
                <w:numId w:val="7"/>
              </w:numPr>
              <w:spacing w:before="120" w:after="120" w:line="240" w:lineRule="auto"/>
              <w:ind w:left="404" w:hanging="284"/>
              <w:rPr>
                <w:rFonts w:ascii="Verdana" w:hAnsi="Verdana"/>
                <w:sz w:val="20"/>
                <w:szCs w:val="20"/>
                <w:lang w:val="en-GB" w:eastAsia="zh-CN"/>
              </w:rPr>
            </w:pPr>
            <w:r>
              <w:rPr>
                <w:rFonts w:hint="eastAsia" w:ascii="Verdana" w:hAnsi="Verdana"/>
                <w:sz w:val="20"/>
                <w:szCs w:val="20"/>
                <w:lang w:val="en-GB" w:eastAsia="zh-CN"/>
              </w:rPr>
              <w:t>协助设计GBON，确定其国</w:t>
            </w:r>
            <w:r>
              <w:rPr>
                <w:rFonts w:hint="eastAsia" w:ascii="宋体" w:hAnsi="宋体" w:cs="宋体"/>
                <w:sz w:val="20"/>
                <w:szCs w:val="20"/>
                <w:lang w:val="en-GB" w:eastAsia="zh-CN"/>
              </w:rPr>
              <w:t>家/地区</w:t>
            </w:r>
            <w:r>
              <w:rPr>
                <w:rFonts w:hint="eastAsia" w:ascii="Verdana" w:hAnsi="Verdana"/>
                <w:sz w:val="20"/>
                <w:szCs w:val="20"/>
                <w:lang w:val="en-GB" w:eastAsia="zh-CN"/>
              </w:rPr>
              <w:t>现有或承诺的新GBON台站，并在全国范围内促进或协调必要行动来将台站纳入GBON。</w:t>
            </w:r>
          </w:p>
          <w:p>
            <w:pPr>
              <w:pStyle w:val="318"/>
              <w:numPr>
                <w:ilvl w:val="0"/>
                <w:numId w:val="7"/>
              </w:numPr>
              <w:spacing w:before="120" w:after="120" w:line="240" w:lineRule="auto"/>
              <w:ind w:left="404" w:hanging="284"/>
              <w:rPr>
                <w:rFonts w:ascii="Verdana" w:hAnsi="Verdana"/>
                <w:sz w:val="20"/>
                <w:szCs w:val="20"/>
                <w:lang w:val="en-GB" w:eastAsia="zh-CN"/>
              </w:rPr>
            </w:pPr>
            <w:r>
              <w:rPr>
                <w:rFonts w:hint="eastAsia" w:ascii="Verdana" w:hAnsi="Verdana"/>
                <w:sz w:val="20"/>
                <w:szCs w:val="20"/>
                <w:lang w:val="en-GB" w:eastAsia="zh-CN"/>
              </w:rPr>
              <w:t>进行国家GBON差距分析，并向WMO秘书处通报其国</w:t>
            </w:r>
            <w:r>
              <w:rPr>
                <w:rFonts w:hint="eastAsia" w:ascii="宋体" w:hAnsi="宋体" w:cs="宋体"/>
                <w:sz w:val="20"/>
                <w:szCs w:val="20"/>
                <w:lang w:val="en-GB" w:eastAsia="zh-CN"/>
              </w:rPr>
              <w:t>家/</w:t>
            </w:r>
            <w:r>
              <w:rPr>
                <w:rFonts w:hint="eastAsia" w:ascii="Verdana" w:hAnsi="Verdana"/>
                <w:sz w:val="20"/>
                <w:szCs w:val="20"/>
                <w:lang w:val="en-GB" w:eastAsia="zh-CN"/>
              </w:rPr>
              <w:t>地区的能力和可能无法达到的要求。</w:t>
            </w:r>
          </w:p>
          <w:p>
            <w:pPr>
              <w:pStyle w:val="318"/>
              <w:numPr>
                <w:ilvl w:val="0"/>
                <w:numId w:val="7"/>
              </w:numPr>
              <w:spacing w:before="120" w:after="120" w:line="240" w:lineRule="auto"/>
              <w:ind w:left="404" w:hanging="284"/>
              <w:rPr>
                <w:rFonts w:ascii="Verdana" w:hAnsi="Verdana"/>
                <w:sz w:val="20"/>
                <w:szCs w:val="20"/>
                <w:lang w:val="en-GB" w:eastAsia="zh-CN"/>
              </w:rPr>
            </w:pPr>
            <w:r>
              <w:rPr>
                <w:rFonts w:hint="eastAsia" w:ascii="Verdana" w:hAnsi="Verdana"/>
                <w:sz w:val="20"/>
                <w:szCs w:val="20"/>
                <w:lang w:val="en-GB" w:eastAsia="zh-CN"/>
              </w:rPr>
              <w:t>若非NMHS的观测站符合GBON要求，与伙伴组织谈判，鼓励将此类观测站纳入GBON。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192" w:type="pct"/>
            <w:tcBorders>
              <w:top w:val="single" w:color="auto" w:sz="8" w:space="0"/>
              <w:left w:val="single" w:color="auto" w:sz="8" w:space="0"/>
              <w:bottom w:val="single" w:color="auto" w:sz="8" w:space="0"/>
              <w:right w:val="single" w:color="auto" w:sz="8" w:space="0"/>
            </w:tcBorders>
            <w:shd w:val="clear" w:color="auto" w:fill="FFFFFF" w:themeFill="background1"/>
          </w:tcPr>
          <w:p>
            <w:pPr>
              <w:spacing w:before="120" w:after="120"/>
              <w:rPr>
                <w:rFonts w:eastAsia="Calibri" w:cs="Calibri"/>
                <w:sz w:val="20"/>
                <w:szCs w:val="20"/>
                <w:lang w:eastAsia="en-US"/>
              </w:rPr>
            </w:pPr>
            <w:r>
              <w:rPr>
                <w:rFonts w:hint="eastAsia" w:eastAsia="宋体" w:cs="Calibri"/>
                <w:sz w:val="20"/>
                <w:szCs w:val="20"/>
                <w:lang w:eastAsia="zh-CN"/>
              </w:rPr>
              <w:t>OSCAR/地表</w:t>
            </w:r>
            <w:r>
              <w:rPr>
                <w:rFonts w:hint="eastAsia" w:ascii="宋体" w:hAnsi="宋体" w:eastAsia="宋体" w:cs="宋体"/>
                <w:sz w:val="20"/>
                <w:szCs w:val="20"/>
                <w:lang w:eastAsia="en-US"/>
              </w:rPr>
              <w:t>国家联络人</w:t>
            </w:r>
          </w:p>
        </w:tc>
        <w:tc>
          <w:tcPr>
            <w:tcW w:w="3808" w:type="pct"/>
            <w:tcBorders>
              <w:top w:val="single" w:color="auto" w:sz="8" w:space="0"/>
              <w:left w:val="single" w:color="auto" w:sz="8" w:space="0"/>
              <w:bottom w:val="single" w:color="auto" w:sz="8" w:space="0"/>
              <w:right w:val="single" w:color="auto" w:sz="8" w:space="0"/>
            </w:tcBorders>
            <w:shd w:val="clear" w:color="auto" w:fill="FFFFFF" w:themeFill="background1"/>
            <w:vAlign w:val="center"/>
          </w:tcPr>
          <w:p>
            <w:pPr>
              <w:pStyle w:val="318"/>
              <w:numPr>
                <w:ilvl w:val="0"/>
                <w:numId w:val="7"/>
              </w:numPr>
              <w:spacing w:before="120" w:after="120" w:line="240" w:lineRule="auto"/>
              <w:ind w:left="404" w:hanging="284"/>
              <w:rPr>
                <w:rFonts w:ascii="Verdana" w:hAnsi="Verdana"/>
                <w:sz w:val="20"/>
                <w:szCs w:val="20"/>
                <w:lang w:val="en-GB" w:eastAsia="en-US"/>
              </w:rPr>
            </w:pPr>
            <w:r>
              <w:rPr>
                <w:rFonts w:hint="eastAsia" w:ascii="Verdana" w:hAnsi="Verdana"/>
                <w:sz w:val="20"/>
                <w:szCs w:val="20"/>
                <w:lang w:val="en-GB" w:eastAsia="en-US"/>
              </w:rPr>
              <w:t>确保GBON候选台站的WIGOS元数据</w:t>
            </w:r>
            <w:r>
              <w:rPr>
                <w:rFonts w:hint="eastAsia" w:ascii="Verdana" w:hAnsi="Verdana"/>
                <w:sz w:val="20"/>
                <w:szCs w:val="20"/>
                <w:lang w:val="en-GB" w:eastAsia="zh-CN"/>
              </w:rPr>
              <w:t>得到</w:t>
            </w:r>
            <w:r>
              <w:rPr>
                <w:rFonts w:hint="eastAsia" w:ascii="Verdana" w:hAnsi="Verdana"/>
                <w:sz w:val="20"/>
                <w:szCs w:val="20"/>
                <w:lang w:val="en-GB" w:eastAsia="en-US"/>
              </w:rPr>
              <w:t>记录，并在</w:t>
            </w:r>
            <w:r>
              <w:rPr>
                <w:rFonts w:hint="eastAsia" w:ascii="Verdana" w:hAnsi="Verdana"/>
                <w:sz w:val="20"/>
                <w:szCs w:val="20"/>
                <w:lang w:val="en-GB" w:eastAsia="zh-CN"/>
              </w:rPr>
              <w:t>OSCAR/地表</w:t>
            </w:r>
            <w:r>
              <w:rPr>
                <w:rFonts w:hint="eastAsia" w:ascii="Verdana" w:hAnsi="Verdana"/>
                <w:sz w:val="20"/>
                <w:szCs w:val="20"/>
                <w:lang w:val="en-GB" w:eastAsia="en-US"/>
              </w:rPr>
              <w:t>中持续更新其元数据。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192" w:type="pct"/>
            <w:tcBorders>
              <w:top w:val="single" w:color="auto" w:sz="8" w:space="0"/>
              <w:left w:val="single" w:color="auto" w:sz="8" w:space="0"/>
              <w:bottom w:val="single" w:color="auto" w:sz="8" w:space="0"/>
              <w:right w:val="single" w:color="auto" w:sz="8" w:space="0"/>
            </w:tcBorders>
            <w:shd w:val="clear" w:color="auto" w:fill="FFFFFF" w:themeFill="background1"/>
          </w:tcPr>
          <w:p>
            <w:pPr>
              <w:spacing w:before="120" w:after="120"/>
              <w:rPr>
                <w:rFonts w:eastAsia="Calibri" w:cs="Calibri"/>
                <w:sz w:val="20"/>
                <w:szCs w:val="20"/>
                <w:lang w:eastAsia="zh-CN"/>
              </w:rPr>
            </w:pPr>
            <w:r>
              <w:rPr>
                <w:rFonts w:eastAsia="Calibri" w:cs="Calibri"/>
                <w:sz w:val="20"/>
                <w:szCs w:val="20"/>
                <w:lang w:eastAsia="zh-CN"/>
              </w:rPr>
              <w:t>WDQMS</w:t>
            </w:r>
            <w:r>
              <w:rPr>
                <w:rFonts w:hint="eastAsia" w:ascii="宋体" w:hAnsi="宋体" w:eastAsia="宋体" w:cs="宋体"/>
                <w:sz w:val="20"/>
                <w:szCs w:val="20"/>
                <w:lang w:eastAsia="zh-CN"/>
              </w:rPr>
              <w:t>国家联络人</w:t>
            </w:r>
          </w:p>
        </w:tc>
        <w:tc>
          <w:tcPr>
            <w:tcW w:w="3808" w:type="pct"/>
            <w:tcBorders>
              <w:top w:val="single" w:color="auto" w:sz="8" w:space="0"/>
              <w:left w:val="single" w:color="auto" w:sz="8" w:space="0"/>
              <w:bottom w:val="single" w:color="auto" w:sz="8" w:space="0"/>
              <w:right w:val="single" w:color="auto" w:sz="8" w:space="0"/>
            </w:tcBorders>
            <w:shd w:val="clear" w:color="auto" w:fill="FFFFFF" w:themeFill="background1"/>
            <w:vAlign w:val="center"/>
          </w:tcPr>
          <w:p>
            <w:pPr>
              <w:pStyle w:val="318"/>
              <w:numPr>
                <w:ilvl w:val="0"/>
                <w:numId w:val="7"/>
              </w:numPr>
              <w:spacing w:before="120" w:after="120" w:line="240" w:lineRule="auto"/>
              <w:ind w:left="404" w:hanging="284"/>
              <w:rPr>
                <w:rFonts w:ascii="Verdana" w:hAnsi="Verdana"/>
                <w:sz w:val="20"/>
                <w:szCs w:val="20"/>
                <w:lang w:val="en-GB" w:eastAsia="zh-CN"/>
              </w:rPr>
            </w:pPr>
            <w:r>
              <w:rPr>
                <w:rFonts w:hint="eastAsia" w:ascii="Verdana" w:hAnsi="Verdana"/>
                <w:sz w:val="20"/>
                <w:szCs w:val="20"/>
                <w:lang w:val="en-GB" w:eastAsia="zh-CN"/>
              </w:rPr>
              <w:t>使用WDQMS网络工具检查和监测全国GBON台站的合规情况，并处理区域WIGOS中心可能报告的任何事件。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192" w:type="pct"/>
            <w:tcBorders>
              <w:top w:val="single" w:color="auto" w:sz="8" w:space="0"/>
              <w:left w:val="single" w:color="auto" w:sz="8" w:space="0"/>
              <w:bottom w:val="single" w:color="auto" w:sz="8" w:space="0"/>
              <w:right w:val="single" w:color="auto" w:sz="8" w:space="0"/>
            </w:tcBorders>
            <w:shd w:val="clear" w:color="auto" w:fill="FFFFFF" w:themeFill="background1"/>
          </w:tcPr>
          <w:p>
            <w:pPr>
              <w:spacing w:before="120" w:after="120"/>
              <w:rPr>
                <w:rFonts w:eastAsia="Calibri" w:cs="Calibri"/>
                <w:sz w:val="20"/>
                <w:szCs w:val="20"/>
                <w:lang w:eastAsia="en-US"/>
              </w:rPr>
            </w:pPr>
            <w:r>
              <w:rPr>
                <w:rFonts w:hint="eastAsia" w:ascii="宋体" w:hAnsi="宋体" w:eastAsia="宋体" w:cs="宋体"/>
                <w:sz w:val="20"/>
                <w:szCs w:val="20"/>
                <w:lang w:eastAsia="en-US"/>
              </w:rPr>
              <w:t>区域</w:t>
            </w:r>
            <w:r>
              <w:rPr>
                <w:rFonts w:hint="eastAsia" w:eastAsia="Calibri" w:cs="Calibri"/>
                <w:sz w:val="20"/>
                <w:szCs w:val="20"/>
                <w:lang w:eastAsia="en-US"/>
              </w:rPr>
              <w:t>WIGOS</w:t>
            </w:r>
            <w:r>
              <w:rPr>
                <w:rFonts w:hint="eastAsia" w:ascii="宋体" w:hAnsi="宋体" w:eastAsia="宋体" w:cs="宋体"/>
                <w:sz w:val="20"/>
                <w:szCs w:val="20"/>
                <w:lang w:eastAsia="en-US"/>
              </w:rPr>
              <w:t>中心（</w:t>
            </w:r>
            <w:r>
              <w:rPr>
                <w:rFonts w:hint="eastAsia" w:eastAsia="Calibri" w:cs="Calibri"/>
                <w:sz w:val="20"/>
                <w:szCs w:val="20"/>
                <w:lang w:eastAsia="en-US"/>
              </w:rPr>
              <w:t>RWC</w:t>
            </w:r>
            <w:r>
              <w:rPr>
                <w:rFonts w:hint="eastAsia" w:ascii="宋体" w:hAnsi="宋体" w:eastAsia="宋体" w:cs="宋体"/>
                <w:sz w:val="20"/>
                <w:szCs w:val="20"/>
                <w:lang w:eastAsia="en-US"/>
              </w:rPr>
              <w:t>）</w:t>
            </w:r>
          </w:p>
        </w:tc>
        <w:tc>
          <w:tcPr>
            <w:tcW w:w="3808" w:type="pct"/>
            <w:tcBorders>
              <w:top w:val="single" w:color="auto" w:sz="8" w:space="0"/>
              <w:left w:val="single" w:color="auto" w:sz="8" w:space="0"/>
              <w:bottom w:val="single" w:color="auto" w:sz="8" w:space="0"/>
              <w:right w:val="single" w:color="auto" w:sz="8" w:space="0"/>
            </w:tcBorders>
            <w:shd w:val="clear" w:color="auto" w:fill="FFFFFF" w:themeFill="background1"/>
            <w:vAlign w:val="center"/>
          </w:tcPr>
          <w:p>
            <w:pPr>
              <w:pStyle w:val="318"/>
              <w:numPr>
                <w:ilvl w:val="0"/>
                <w:numId w:val="7"/>
              </w:numPr>
              <w:spacing w:before="120" w:after="120" w:line="240" w:lineRule="auto"/>
              <w:ind w:left="404" w:hanging="284"/>
              <w:rPr>
                <w:rFonts w:ascii="Verdana" w:hAnsi="Verdana" w:eastAsia="Calibri" w:cs="Calibri"/>
                <w:sz w:val="20"/>
                <w:szCs w:val="20"/>
                <w:lang w:val="en-GB" w:eastAsia="zh-CN"/>
              </w:rPr>
            </w:pPr>
            <w:r>
              <w:rPr>
                <w:rFonts w:hint="eastAsia" w:ascii="Verdana" w:hAnsi="Verdana"/>
                <w:sz w:val="20"/>
                <w:szCs w:val="20"/>
                <w:lang w:val="en-GB" w:eastAsia="zh-CN"/>
              </w:rPr>
              <w:t>监测</w:t>
            </w:r>
            <w:r>
              <w:rPr>
                <w:rFonts w:hint="eastAsia" w:ascii="Verdana" w:hAnsi="Verdana" w:eastAsia="Calibri" w:cs="Calibri"/>
                <w:sz w:val="20"/>
                <w:szCs w:val="20"/>
                <w:lang w:val="en-GB" w:eastAsia="zh-CN"/>
              </w:rPr>
              <w:t>GBON</w:t>
            </w:r>
            <w:r>
              <w:rPr>
                <w:rFonts w:hint="eastAsia" w:ascii="Verdana" w:hAnsi="Verdana"/>
                <w:sz w:val="20"/>
                <w:szCs w:val="20"/>
                <w:lang w:val="en-GB" w:eastAsia="zh-CN"/>
              </w:rPr>
              <w:t>观测站是否符合</w:t>
            </w:r>
            <w:r>
              <w:rPr>
                <w:rFonts w:hint="eastAsia" w:ascii="Verdana" w:hAnsi="Verdana" w:eastAsia="Calibri" w:cs="Calibri"/>
                <w:sz w:val="20"/>
                <w:szCs w:val="20"/>
                <w:lang w:val="en-GB" w:eastAsia="zh-CN"/>
              </w:rPr>
              <w:t>GBON</w:t>
            </w:r>
            <w:r>
              <w:rPr>
                <w:rFonts w:hint="eastAsia" w:ascii="Verdana" w:hAnsi="Verdana"/>
                <w:sz w:val="20"/>
                <w:szCs w:val="20"/>
                <w:lang w:val="en-GB" w:eastAsia="zh-CN"/>
              </w:rPr>
              <w:t>要求，并通过</w:t>
            </w:r>
            <w:r>
              <w:rPr>
                <w:rFonts w:hint="eastAsia" w:ascii="Verdana" w:hAnsi="Verdana" w:eastAsia="Calibri" w:cs="Calibri"/>
                <w:sz w:val="20"/>
                <w:szCs w:val="20"/>
                <w:lang w:val="en-GB" w:eastAsia="zh-CN"/>
              </w:rPr>
              <w:t>WDQMS NFP</w:t>
            </w:r>
            <w:r>
              <w:rPr>
                <w:rFonts w:hint="eastAsia" w:ascii="Verdana" w:hAnsi="Verdana"/>
                <w:sz w:val="20"/>
                <w:szCs w:val="20"/>
                <w:lang w:val="en-GB" w:eastAsia="zh-CN"/>
              </w:rPr>
              <w:t>向会员通报已发现的事件。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192" w:type="pct"/>
            <w:tcBorders>
              <w:top w:val="single" w:color="auto" w:sz="8" w:space="0"/>
              <w:left w:val="single" w:color="auto" w:sz="8" w:space="0"/>
              <w:bottom w:val="single" w:color="auto" w:sz="8" w:space="0"/>
              <w:right w:val="single" w:color="auto" w:sz="8" w:space="0"/>
            </w:tcBorders>
            <w:shd w:val="clear" w:color="auto" w:fill="FFFFFF" w:themeFill="background1"/>
          </w:tcPr>
          <w:p>
            <w:pPr>
              <w:spacing w:before="120" w:after="120"/>
              <w:rPr>
                <w:rFonts w:eastAsia="Calibri" w:cs="Calibri"/>
                <w:sz w:val="20"/>
                <w:szCs w:val="20"/>
                <w:lang w:eastAsia="zh-CN"/>
              </w:rPr>
            </w:pPr>
            <w:r>
              <w:rPr>
                <w:rFonts w:hint="eastAsia" w:ascii="宋体" w:hAnsi="宋体" w:eastAsia="宋体" w:cs="宋体"/>
                <w:sz w:val="20"/>
                <w:szCs w:val="20"/>
                <w:lang w:eastAsia="zh-CN"/>
              </w:rPr>
              <w:t>区域协会基础设施工作组</w:t>
            </w:r>
          </w:p>
        </w:tc>
        <w:tc>
          <w:tcPr>
            <w:tcW w:w="3808" w:type="pct"/>
            <w:tcBorders>
              <w:top w:val="single" w:color="auto" w:sz="8" w:space="0"/>
              <w:left w:val="single" w:color="auto" w:sz="8" w:space="0"/>
              <w:bottom w:val="single" w:color="auto" w:sz="8" w:space="0"/>
              <w:right w:val="single" w:color="auto" w:sz="8" w:space="0"/>
            </w:tcBorders>
            <w:shd w:val="clear" w:color="auto" w:fill="FFFFFF" w:themeFill="background1"/>
            <w:vAlign w:val="center"/>
          </w:tcPr>
          <w:p>
            <w:pPr>
              <w:pStyle w:val="318"/>
              <w:numPr>
                <w:ilvl w:val="0"/>
                <w:numId w:val="7"/>
              </w:numPr>
              <w:spacing w:before="120" w:after="120" w:line="240" w:lineRule="auto"/>
              <w:ind w:left="404" w:hanging="284"/>
              <w:rPr>
                <w:rFonts w:ascii="Verdana" w:hAnsi="Verdana"/>
                <w:sz w:val="20"/>
                <w:szCs w:val="20"/>
                <w:lang w:val="en-GB" w:eastAsia="zh-CN"/>
              </w:rPr>
            </w:pPr>
            <w:r>
              <w:rPr>
                <w:rFonts w:hint="eastAsia" w:ascii="Verdana" w:hAnsi="Verdana"/>
                <w:sz w:val="20"/>
                <w:szCs w:val="20"/>
                <w:lang w:val="en-GB" w:eastAsia="zh-CN"/>
              </w:rPr>
              <w:t>促进区域合作和跨越政治边界的数据交换——分享利益、共享空间、为此类合作提出优先排序机制，例如，支持减少灾害风险；利用现有的全球和区域基础设施（如WIS中心、WIS 2.0工具箱）促进GBON数据的交换。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192" w:type="pct"/>
            <w:tcBorders>
              <w:top w:val="single" w:color="auto" w:sz="8" w:space="0"/>
              <w:left w:val="single" w:color="auto" w:sz="8" w:space="0"/>
              <w:bottom w:val="single" w:color="auto" w:sz="8" w:space="0"/>
              <w:right w:val="single" w:color="auto" w:sz="8" w:space="0"/>
            </w:tcBorders>
            <w:shd w:val="clear" w:color="auto" w:fill="FFFFFF" w:themeFill="background1"/>
          </w:tcPr>
          <w:p>
            <w:pPr>
              <w:spacing w:before="120" w:after="120"/>
              <w:rPr>
                <w:rFonts w:eastAsia="宋体" w:cs="Calibri"/>
                <w:sz w:val="20"/>
                <w:szCs w:val="20"/>
                <w:lang w:val="en-US" w:eastAsia="zh-CN"/>
              </w:rPr>
            </w:pPr>
            <w:r>
              <w:rPr>
                <w:rFonts w:eastAsia="Calibri" w:cs="Calibri"/>
                <w:sz w:val="20"/>
                <w:szCs w:val="20"/>
                <w:lang w:eastAsia="en-US"/>
              </w:rPr>
              <w:t>WMO</w:t>
            </w:r>
            <w:r>
              <w:rPr>
                <w:rFonts w:hint="eastAsia" w:eastAsia="宋体" w:cs="Calibri"/>
                <w:sz w:val="20"/>
                <w:szCs w:val="20"/>
                <w:lang w:val="en-US" w:eastAsia="zh-CN"/>
              </w:rPr>
              <w:t>秘书处</w:t>
            </w:r>
          </w:p>
        </w:tc>
        <w:tc>
          <w:tcPr>
            <w:tcW w:w="3808" w:type="pct"/>
            <w:tcBorders>
              <w:top w:val="single" w:color="auto" w:sz="8" w:space="0"/>
              <w:left w:val="single" w:color="auto" w:sz="8" w:space="0"/>
              <w:bottom w:val="single" w:color="auto" w:sz="8" w:space="0"/>
              <w:right w:val="single" w:color="auto" w:sz="8" w:space="0"/>
            </w:tcBorders>
            <w:shd w:val="clear" w:color="auto" w:fill="FFFFFF" w:themeFill="background1"/>
            <w:vAlign w:val="center"/>
          </w:tcPr>
          <w:p>
            <w:pPr>
              <w:pStyle w:val="318"/>
              <w:numPr>
                <w:ilvl w:val="0"/>
                <w:numId w:val="7"/>
              </w:numPr>
              <w:spacing w:before="120" w:after="120" w:line="240" w:lineRule="auto"/>
              <w:ind w:left="404" w:hanging="284"/>
              <w:rPr>
                <w:rFonts w:ascii="Verdana" w:hAnsi="Verdana"/>
                <w:sz w:val="20"/>
                <w:szCs w:val="20"/>
                <w:lang w:val="en-GB" w:eastAsia="zh-CN"/>
              </w:rPr>
            </w:pPr>
            <w:r>
              <w:rPr>
                <w:rFonts w:hint="eastAsia" w:ascii="Verdana" w:hAnsi="Verdana"/>
                <w:sz w:val="20"/>
                <w:szCs w:val="20"/>
                <w:lang w:val="en-GB" w:eastAsia="zh-CN"/>
              </w:rPr>
              <w:t>为INFCOM组设计GBON台站列表和GBON合规监测提供技术支持，包括：</w:t>
            </w:r>
          </w:p>
          <w:p>
            <w:pPr>
              <w:pStyle w:val="318"/>
              <w:numPr>
                <w:ilvl w:val="0"/>
                <w:numId w:val="8"/>
              </w:numPr>
              <w:spacing w:before="120" w:after="120" w:line="240" w:lineRule="auto"/>
              <w:rPr>
                <w:rFonts w:ascii="Verdana" w:hAnsi="Verdana"/>
                <w:sz w:val="20"/>
                <w:szCs w:val="20"/>
                <w:lang w:val="en-GB" w:eastAsia="zh-CN"/>
              </w:rPr>
            </w:pPr>
            <w:r>
              <w:rPr>
                <w:rFonts w:hint="eastAsia" w:ascii="Verdana" w:hAnsi="Verdana"/>
                <w:sz w:val="20"/>
                <w:szCs w:val="20"/>
                <w:lang w:val="en-GB" w:eastAsia="zh-CN"/>
              </w:rPr>
              <w:t>与WIGOS NFP联络，以获得关于会员能力的信息，以及会员希望将哪些候选观测站纳入GBON。</w:t>
            </w:r>
          </w:p>
          <w:p>
            <w:pPr>
              <w:pStyle w:val="318"/>
              <w:numPr>
                <w:ilvl w:val="0"/>
                <w:numId w:val="8"/>
              </w:numPr>
              <w:spacing w:before="120" w:after="120" w:line="240" w:lineRule="auto"/>
              <w:rPr>
                <w:rFonts w:ascii="Verdana" w:hAnsi="Verdana"/>
                <w:sz w:val="20"/>
                <w:szCs w:val="20"/>
                <w:lang w:val="en-GB" w:eastAsia="zh-CN"/>
              </w:rPr>
            </w:pPr>
            <w:r>
              <w:rPr>
                <w:rFonts w:hint="eastAsia" w:ascii="Verdana" w:hAnsi="Verdana"/>
                <w:sz w:val="20"/>
                <w:szCs w:val="20"/>
                <w:lang w:val="en-GB" w:eastAsia="zh-CN"/>
              </w:rPr>
              <w:t>进行全球差距分析，并就GBON台站的指定提出建议。</w:t>
            </w:r>
          </w:p>
          <w:p>
            <w:pPr>
              <w:pStyle w:val="318"/>
              <w:numPr>
                <w:ilvl w:val="0"/>
                <w:numId w:val="8"/>
              </w:numPr>
              <w:spacing w:before="120" w:after="120" w:line="240" w:lineRule="auto"/>
              <w:rPr>
                <w:rFonts w:ascii="Verdana" w:hAnsi="Verdana"/>
                <w:sz w:val="20"/>
                <w:szCs w:val="20"/>
                <w:lang w:val="en-GB" w:eastAsia="zh-CN"/>
              </w:rPr>
            </w:pPr>
            <w:r>
              <w:rPr>
                <w:rFonts w:hint="eastAsia" w:ascii="Verdana" w:hAnsi="Verdana"/>
                <w:sz w:val="20"/>
                <w:szCs w:val="20"/>
                <w:lang w:val="en-GB" w:eastAsia="zh-CN"/>
              </w:rPr>
              <w:t>根据需要提议更新GBON指导材料。</w:t>
            </w:r>
          </w:p>
          <w:p>
            <w:pPr>
              <w:pStyle w:val="318"/>
              <w:numPr>
                <w:ilvl w:val="0"/>
                <w:numId w:val="8"/>
              </w:numPr>
              <w:spacing w:before="120" w:after="120" w:line="240" w:lineRule="auto"/>
              <w:rPr>
                <w:rFonts w:ascii="Verdana" w:hAnsi="Verdana"/>
                <w:sz w:val="20"/>
                <w:szCs w:val="20"/>
                <w:lang w:val="en-GB" w:eastAsia="en-US"/>
              </w:rPr>
            </w:pPr>
            <w:r>
              <w:rPr>
                <w:rFonts w:hint="eastAsia" w:ascii="Verdana" w:hAnsi="Verdana"/>
                <w:sz w:val="20"/>
                <w:szCs w:val="20"/>
                <w:lang w:val="en-GB" w:eastAsia="en-US"/>
              </w:rPr>
              <w:t>了解如何充分利用WIGOS工具（WDQMS、</w:t>
            </w:r>
            <w:r>
              <w:rPr>
                <w:rFonts w:hint="eastAsia" w:ascii="Verdana" w:hAnsi="Verdana"/>
                <w:sz w:val="20"/>
                <w:szCs w:val="20"/>
                <w:lang w:val="en-GB" w:eastAsia="zh-CN"/>
              </w:rPr>
              <w:t>OSCAR/地表</w:t>
            </w:r>
            <w:r>
              <w:rPr>
                <w:rFonts w:hint="eastAsia" w:ascii="Verdana" w:hAnsi="Verdana"/>
                <w:sz w:val="20"/>
                <w:szCs w:val="20"/>
                <w:lang w:val="en-GB" w:eastAsia="en-US"/>
              </w:rPr>
              <w:t>），并协助INFCOM组了解这些工具应如何发展或</w:t>
            </w:r>
            <w:r>
              <w:rPr>
                <w:rFonts w:hint="eastAsia" w:ascii="Verdana" w:hAnsi="Verdana"/>
                <w:sz w:val="20"/>
                <w:szCs w:val="20"/>
                <w:lang w:val="en-GB" w:eastAsia="zh-CN"/>
              </w:rPr>
              <w:t>应</w:t>
            </w:r>
            <w:r>
              <w:rPr>
                <w:rFonts w:hint="eastAsia" w:ascii="Verdana" w:hAnsi="Verdana"/>
                <w:sz w:val="20"/>
                <w:szCs w:val="20"/>
                <w:lang w:val="en-GB" w:eastAsia="en-US"/>
              </w:rPr>
              <w:t>用于GBON。</w:t>
            </w:r>
          </w:p>
          <w:p>
            <w:pPr>
              <w:pStyle w:val="318"/>
              <w:numPr>
                <w:ilvl w:val="0"/>
                <w:numId w:val="8"/>
              </w:numPr>
              <w:spacing w:before="120" w:after="120" w:line="240" w:lineRule="auto"/>
              <w:rPr>
                <w:rFonts w:ascii="Verdana" w:hAnsi="Verdana"/>
                <w:sz w:val="20"/>
                <w:szCs w:val="20"/>
                <w:lang w:val="en-GB" w:eastAsia="zh-CN"/>
              </w:rPr>
            </w:pPr>
            <w:r>
              <w:rPr>
                <w:rFonts w:hint="eastAsia" w:ascii="Verdana" w:hAnsi="Verdana"/>
                <w:sz w:val="20"/>
                <w:szCs w:val="20"/>
                <w:lang w:val="en-GB" w:eastAsia="zh-CN"/>
              </w:rPr>
              <w:t>协助SC-ON进行台站级和会员级评估，并编制相应的报告。</w:t>
            </w:r>
          </w:p>
          <w:p>
            <w:pPr>
              <w:pStyle w:val="318"/>
              <w:numPr>
                <w:ilvl w:val="0"/>
                <w:numId w:val="8"/>
              </w:numPr>
              <w:spacing w:before="120" w:after="120" w:line="240" w:lineRule="auto"/>
              <w:rPr>
                <w:rFonts w:ascii="Verdana" w:hAnsi="Verdana"/>
                <w:sz w:val="20"/>
                <w:szCs w:val="20"/>
                <w:lang w:val="en-GB" w:eastAsia="zh-CN"/>
              </w:rPr>
            </w:pPr>
            <w:r>
              <w:rPr>
                <w:rFonts w:hint="eastAsia" w:ascii="Verdana" w:hAnsi="Verdana"/>
                <w:sz w:val="20"/>
                <w:szCs w:val="20"/>
                <w:lang w:val="en-GB" w:eastAsia="zh-CN"/>
              </w:rPr>
              <w:t>协助INFCOM组编制会员级评估报告（季度和年度），以及完成其他相关任务。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192" w:type="pct"/>
            <w:tcBorders>
              <w:top w:val="single" w:color="auto" w:sz="8" w:space="0"/>
              <w:left w:val="single" w:color="auto" w:sz="8" w:space="0"/>
              <w:bottom w:val="single" w:color="auto" w:sz="8" w:space="0"/>
              <w:right w:val="single" w:color="auto" w:sz="8" w:space="0"/>
            </w:tcBorders>
            <w:shd w:val="clear" w:color="auto" w:fill="FFFFFF" w:themeFill="background1"/>
          </w:tcPr>
          <w:p>
            <w:pPr>
              <w:spacing w:before="120" w:after="120"/>
              <w:rPr>
                <w:rFonts w:eastAsia="Calibri" w:cs="Calibri"/>
                <w:sz w:val="20"/>
                <w:szCs w:val="20"/>
                <w:lang w:eastAsia="en-US"/>
              </w:rPr>
            </w:pPr>
            <w:r>
              <w:rPr>
                <w:rFonts w:eastAsia="Calibri" w:cs="Calibri"/>
                <w:sz w:val="20"/>
                <w:szCs w:val="20"/>
                <w:lang w:eastAsia="en-US"/>
              </w:rPr>
              <w:t>SOFF</w:t>
            </w:r>
            <w:r>
              <w:rPr>
                <w:rFonts w:hint="eastAsia" w:eastAsia="宋体" w:cs="Calibri"/>
                <w:sz w:val="20"/>
                <w:szCs w:val="20"/>
                <w:lang w:val="en-US" w:eastAsia="zh-CN"/>
              </w:rPr>
              <w:t>秘书处</w:t>
            </w:r>
          </w:p>
        </w:tc>
        <w:tc>
          <w:tcPr>
            <w:tcW w:w="3808" w:type="pct"/>
            <w:tcBorders>
              <w:top w:val="single" w:color="auto" w:sz="8" w:space="0"/>
              <w:left w:val="single" w:color="auto" w:sz="8" w:space="0"/>
              <w:bottom w:val="single" w:color="auto" w:sz="8" w:space="0"/>
              <w:right w:val="single" w:color="auto" w:sz="8" w:space="0"/>
            </w:tcBorders>
            <w:shd w:val="clear" w:color="auto" w:fill="FFFFFF" w:themeFill="background1"/>
            <w:vAlign w:val="center"/>
          </w:tcPr>
          <w:p>
            <w:pPr>
              <w:pStyle w:val="318"/>
              <w:numPr>
                <w:ilvl w:val="0"/>
                <w:numId w:val="9"/>
              </w:numPr>
              <w:spacing w:before="120" w:after="120" w:line="240" w:lineRule="auto"/>
              <w:ind w:left="426" w:hanging="283"/>
              <w:rPr>
                <w:rFonts w:ascii="Verdana" w:hAnsi="Verdana"/>
                <w:sz w:val="20"/>
                <w:szCs w:val="20"/>
                <w:lang w:val="en-GB" w:eastAsia="zh-CN"/>
              </w:rPr>
            </w:pPr>
            <w:r>
              <w:rPr>
                <w:rFonts w:hint="eastAsia" w:ascii="Verdana" w:hAnsi="Verdana"/>
                <w:sz w:val="20"/>
                <w:szCs w:val="20"/>
                <w:lang w:val="en-GB" w:eastAsia="zh-CN"/>
              </w:rPr>
              <w:t>根据</w:t>
            </w:r>
            <w:r>
              <w:rPr>
                <w:rFonts w:hint="eastAsia" w:ascii="Verdana" w:hAnsi="Verdana" w:eastAsiaTheme="minorEastAsia"/>
                <w:sz w:val="20"/>
                <w:szCs w:val="20"/>
                <w:lang w:val="en-GB" w:eastAsia="zh-CN"/>
              </w:rPr>
              <w:t>SOFF</w:t>
            </w:r>
            <w:r>
              <w:rPr>
                <w:rFonts w:hint="eastAsia" w:ascii="Verdana" w:hAnsi="Verdana"/>
                <w:sz w:val="20"/>
                <w:szCs w:val="20"/>
                <w:lang w:val="en-GB" w:eastAsia="zh-CN"/>
              </w:rPr>
              <w:t>秘书处的职责协调</w:t>
            </w:r>
            <w:r>
              <w:rPr>
                <w:rFonts w:hint="eastAsia" w:ascii="Verdana" w:hAnsi="Verdana" w:eastAsiaTheme="minorEastAsia"/>
                <w:sz w:val="20"/>
                <w:szCs w:val="20"/>
                <w:lang w:val="en-GB" w:eastAsia="zh-CN"/>
              </w:rPr>
              <w:t>SOFF</w:t>
            </w:r>
            <w:r>
              <w:rPr>
                <w:rFonts w:hint="eastAsia" w:ascii="Verdana" w:hAnsi="Verdana"/>
                <w:sz w:val="20"/>
                <w:szCs w:val="20"/>
                <w:lang w:val="en-GB" w:eastAsia="zh-CN"/>
              </w:rPr>
              <w:t>的实施。</w:t>
            </w:r>
          </w:p>
          <w:p>
            <w:pPr>
              <w:pStyle w:val="318"/>
              <w:numPr>
                <w:ilvl w:val="0"/>
                <w:numId w:val="9"/>
              </w:numPr>
              <w:spacing w:before="120" w:after="120" w:line="240" w:lineRule="auto"/>
              <w:ind w:left="426" w:hanging="283"/>
              <w:rPr>
                <w:rFonts w:ascii="宋体" w:hAnsi="宋体" w:cs="宋体"/>
                <w:sz w:val="20"/>
                <w:szCs w:val="20"/>
                <w:lang w:val="en-GB" w:eastAsia="zh-CN"/>
              </w:rPr>
            </w:pPr>
            <w:r>
              <w:rPr>
                <w:rFonts w:hint="eastAsia" w:ascii="宋体" w:hAnsi="宋体" w:cs="宋体"/>
                <w:sz w:val="20"/>
                <w:szCs w:val="20"/>
                <w:lang w:val="en-GB" w:eastAsia="zh-CN"/>
              </w:rPr>
              <w:t>帮助会员理解</w:t>
            </w:r>
            <w:r>
              <w:rPr>
                <w:rFonts w:hint="eastAsia" w:ascii="Verdana" w:hAnsi="Verdana" w:eastAsiaTheme="minorEastAsia"/>
                <w:sz w:val="20"/>
                <w:szCs w:val="20"/>
                <w:lang w:val="en-GB" w:eastAsia="zh-CN"/>
              </w:rPr>
              <w:t>SOFF</w:t>
            </w:r>
            <w:r>
              <w:rPr>
                <w:rFonts w:hint="eastAsia" w:ascii="宋体" w:hAnsi="宋体" w:cs="宋体"/>
                <w:sz w:val="20"/>
                <w:szCs w:val="20"/>
                <w:lang w:val="en-GB" w:eastAsia="zh-CN"/>
              </w:rPr>
              <w:t>的业务要素，支持</w:t>
            </w:r>
            <w:r>
              <w:rPr>
                <w:rFonts w:hint="eastAsia" w:ascii="Verdana" w:hAnsi="Verdana" w:eastAsiaTheme="minorEastAsia"/>
                <w:sz w:val="20"/>
                <w:szCs w:val="20"/>
                <w:lang w:val="en-GB" w:eastAsia="zh-CN"/>
              </w:rPr>
              <w:t>GBON</w:t>
            </w:r>
            <w:r>
              <w:rPr>
                <w:rFonts w:hint="eastAsia" w:ascii="宋体" w:hAnsi="宋体" w:cs="宋体"/>
                <w:sz w:val="20"/>
                <w:szCs w:val="20"/>
                <w:lang w:val="en-GB" w:eastAsia="zh-CN"/>
              </w:rPr>
              <w:t>的实施进而</w:t>
            </w:r>
            <w:r>
              <w:rPr>
                <w:rFonts w:hint="eastAsia" w:ascii="宋体" w:hAnsi="宋体" w:cs="宋体"/>
                <w:sz w:val="20"/>
                <w:szCs w:val="20"/>
                <w:lang w:val="en-US" w:eastAsia="zh-CN"/>
              </w:rPr>
              <w:t>缩小差距</w:t>
            </w:r>
            <w:r>
              <w:rPr>
                <w:rFonts w:hint="eastAsia" w:ascii="宋体" w:hAnsi="宋体" w:cs="宋体"/>
                <w:sz w:val="20"/>
                <w:szCs w:val="20"/>
                <w:lang w:val="en-GB" w:eastAsia="zh-CN"/>
              </w:rPr>
              <w:t>。</w:t>
            </w:r>
          </w:p>
          <w:p>
            <w:pPr>
              <w:pStyle w:val="318"/>
              <w:numPr>
                <w:ilvl w:val="0"/>
                <w:numId w:val="9"/>
              </w:numPr>
              <w:spacing w:before="120" w:after="120" w:line="240" w:lineRule="auto"/>
              <w:ind w:left="426" w:hanging="283"/>
              <w:rPr>
                <w:rFonts w:ascii="宋体" w:hAnsi="宋体" w:cs="宋体"/>
                <w:sz w:val="20"/>
                <w:szCs w:val="20"/>
                <w:lang w:val="en-GB" w:eastAsia="zh-CN"/>
              </w:rPr>
            </w:pPr>
            <w:r>
              <w:rPr>
                <w:rFonts w:hint="eastAsia" w:ascii="宋体" w:hAnsi="宋体" w:cs="宋体"/>
                <w:sz w:val="20"/>
                <w:szCs w:val="20"/>
                <w:lang w:val="en-GB" w:eastAsia="zh-CN"/>
              </w:rPr>
              <w:t>与</w:t>
            </w:r>
            <w:r>
              <w:rPr>
                <w:rFonts w:hint="eastAsia" w:ascii="Verdana" w:hAnsi="Verdana" w:eastAsiaTheme="minorEastAsia"/>
                <w:sz w:val="20"/>
                <w:szCs w:val="20"/>
                <w:lang w:val="en-GB" w:eastAsia="zh-CN"/>
              </w:rPr>
              <w:t>WMO</w:t>
            </w:r>
            <w:r>
              <w:rPr>
                <w:rFonts w:hint="eastAsia" w:ascii="宋体" w:hAnsi="宋体" w:cs="宋体"/>
                <w:sz w:val="20"/>
                <w:szCs w:val="20"/>
                <w:lang w:val="en-GB" w:eastAsia="zh-CN"/>
              </w:rPr>
              <w:t>秘书处和</w:t>
            </w:r>
            <w:r>
              <w:rPr>
                <w:rFonts w:hint="eastAsia" w:ascii="Verdana" w:hAnsi="Verdana" w:eastAsiaTheme="minorEastAsia"/>
                <w:sz w:val="20"/>
                <w:szCs w:val="20"/>
                <w:lang w:val="en-GB" w:eastAsia="zh-CN"/>
              </w:rPr>
              <w:t>INFCOM</w:t>
            </w:r>
            <w:r>
              <w:rPr>
                <w:rFonts w:hint="eastAsia" w:ascii="宋体" w:hAnsi="宋体" w:cs="宋体"/>
                <w:sz w:val="20"/>
                <w:szCs w:val="20"/>
                <w:lang w:val="en-GB" w:eastAsia="zh-CN"/>
              </w:rPr>
              <w:t>组合作，为</w:t>
            </w:r>
            <w:r>
              <w:rPr>
                <w:rFonts w:hint="eastAsia" w:ascii="Verdana" w:hAnsi="Verdana" w:eastAsiaTheme="minorEastAsia"/>
                <w:sz w:val="20"/>
                <w:szCs w:val="20"/>
                <w:lang w:val="en-GB" w:eastAsia="zh-CN"/>
              </w:rPr>
              <w:t>SOFF</w:t>
            </w:r>
            <w:r>
              <w:rPr>
                <w:rFonts w:hint="eastAsia" w:ascii="宋体" w:hAnsi="宋体" w:cs="宋体"/>
                <w:sz w:val="20"/>
                <w:szCs w:val="20"/>
                <w:lang w:val="en-GB" w:eastAsia="zh-CN"/>
              </w:rPr>
              <w:t>同行顾问制定并提供具体指导意见和培训。</w:t>
            </w:r>
          </w:p>
          <w:p>
            <w:pPr>
              <w:pStyle w:val="318"/>
              <w:numPr>
                <w:ilvl w:val="0"/>
                <w:numId w:val="9"/>
              </w:numPr>
              <w:spacing w:before="120" w:after="120" w:line="240" w:lineRule="auto"/>
              <w:ind w:left="426" w:hanging="283"/>
              <w:rPr>
                <w:rFonts w:ascii="宋体" w:hAnsi="宋体" w:cs="宋体"/>
                <w:sz w:val="20"/>
                <w:szCs w:val="20"/>
                <w:lang w:val="en-GB" w:eastAsia="zh-CN"/>
              </w:rPr>
            </w:pPr>
            <w:r>
              <w:rPr>
                <w:rFonts w:hint="eastAsia" w:ascii="宋体" w:hAnsi="宋体" w:cs="宋体"/>
                <w:sz w:val="20"/>
                <w:szCs w:val="20"/>
                <w:lang w:val="en-GB" w:eastAsia="zh-CN"/>
              </w:rPr>
              <w:t>与</w:t>
            </w:r>
            <w:r>
              <w:rPr>
                <w:rFonts w:hint="eastAsia" w:ascii="Verdana" w:hAnsi="Verdana" w:eastAsiaTheme="minorEastAsia"/>
                <w:sz w:val="20"/>
                <w:szCs w:val="20"/>
                <w:lang w:val="en-GB" w:eastAsia="zh-CN"/>
              </w:rPr>
              <w:t>WMO</w:t>
            </w:r>
            <w:r>
              <w:rPr>
                <w:rFonts w:hint="eastAsia" w:ascii="宋体" w:hAnsi="宋体" w:cs="宋体"/>
                <w:sz w:val="20"/>
                <w:szCs w:val="20"/>
                <w:lang w:val="en-GB" w:eastAsia="zh-CN"/>
              </w:rPr>
              <w:t>秘书处和</w:t>
            </w:r>
            <w:r>
              <w:rPr>
                <w:rFonts w:hint="eastAsia" w:ascii="Verdana" w:hAnsi="Verdana" w:eastAsiaTheme="minorEastAsia"/>
                <w:sz w:val="20"/>
                <w:szCs w:val="20"/>
                <w:lang w:val="en-GB" w:eastAsia="zh-CN"/>
              </w:rPr>
              <w:t>INFCOM</w:t>
            </w:r>
            <w:r>
              <w:rPr>
                <w:rFonts w:hint="eastAsia" w:ascii="宋体" w:hAnsi="宋体" w:cs="宋体"/>
                <w:sz w:val="20"/>
                <w:szCs w:val="20"/>
                <w:lang w:val="en-GB" w:eastAsia="zh-CN"/>
              </w:rPr>
              <w:t>组合作，确定</w:t>
            </w:r>
            <w:r>
              <w:rPr>
                <w:rFonts w:hint="eastAsia" w:ascii="Verdana" w:hAnsi="Verdana" w:eastAsiaTheme="minorEastAsia"/>
                <w:sz w:val="20"/>
                <w:szCs w:val="20"/>
                <w:lang w:val="en-GB" w:eastAsia="zh-CN"/>
              </w:rPr>
              <w:t>GBON</w:t>
            </w:r>
            <w:r>
              <w:rPr>
                <w:rFonts w:hint="eastAsia" w:ascii="宋体" w:hAnsi="宋体" w:cs="宋体"/>
                <w:sz w:val="20"/>
                <w:szCs w:val="20"/>
                <w:lang w:val="en-GB" w:eastAsia="zh-CN"/>
              </w:rPr>
              <w:t>国家在</w:t>
            </w:r>
            <w:r>
              <w:rPr>
                <w:rFonts w:hint="eastAsia" w:ascii="Verdana" w:hAnsi="Verdana" w:eastAsiaTheme="minorEastAsia"/>
                <w:sz w:val="20"/>
                <w:szCs w:val="20"/>
                <w:lang w:val="en-GB" w:eastAsia="zh-CN"/>
              </w:rPr>
              <w:t>SOFF</w:t>
            </w:r>
            <w:r>
              <w:rPr>
                <w:rFonts w:hint="eastAsia" w:ascii="宋体" w:hAnsi="宋体" w:cs="宋体"/>
                <w:sz w:val="20"/>
                <w:szCs w:val="20"/>
                <w:lang w:val="en-GB" w:eastAsia="zh-CN"/>
              </w:rPr>
              <w:t>计划决策制定中的机会。</w:t>
            </w:r>
          </w:p>
          <w:p>
            <w:pPr>
              <w:pStyle w:val="318"/>
              <w:numPr>
                <w:ilvl w:val="0"/>
                <w:numId w:val="9"/>
              </w:numPr>
              <w:spacing w:before="120" w:after="120" w:line="240" w:lineRule="auto"/>
              <w:ind w:left="426" w:hanging="283"/>
              <w:rPr>
                <w:rFonts w:ascii="宋体" w:hAnsi="宋体" w:cs="宋体"/>
                <w:sz w:val="20"/>
                <w:szCs w:val="20"/>
                <w:lang w:val="en-GB" w:eastAsia="zh-CN"/>
              </w:rPr>
            </w:pPr>
            <w:r>
              <w:rPr>
                <w:rFonts w:hint="eastAsia" w:ascii="宋体" w:hAnsi="宋体" w:cs="宋体"/>
                <w:sz w:val="20"/>
                <w:szCs w:val="20"/>
                <w:lang w:val="en-GB" w:eastAsia="zh-CN"/>
              </w:rPr>
              <w:t>与</w:t>
            </w:r>
            <w:r>
              <w:rPr>
                <w:rFonts w:hint="eastAsia" w:ascii="Verdana" w:hAnsi="Verdana" w:eastAsiaTheme="minorEastAsia"/>
                <w:sz w:val="20"/>
                <w:szCs w:val="20"/>
                <w:lang w:val="en-GB" w:eastAsia="zh-CN"/>
              </w:rPr>
              <w:t>WMO</w:t>
            </w:r>
            <w:r>
              <w:rPr>
                <w:rFonts w:hint="eastAsia" w:ascii="宋体" w:hAnsi="宋体" w:cs="宋体"/>
                <w:sz w:val="20"/>
                <w:szCs w:val="20"/>
                <w:lang w:val="en-GB" w:eastAsia="zh-CN"/>
              </w:rPr>
              <w:t>秘书处和</w:t>
            </w:r>
            <w:r>
              <w:rPr>
                <w:rFonts w:hint="eastAsia" w:ascii="Verdana" w:hAnsi="Verdana" w:eastAsiaTheme="minorEastAsia"/>
                <w:sz w:val="20"/>
                <w:szCs w:val="20"/>
                <w:lang w:val="en-GB" w:eastAsia="zh-CN"/>
              </w:rPr>
              <w:t>INFCOM</w:t>
            </w:r>
            <w:r>
              <w:rPr>
                <w:rFonts w:hint="eastAsia" w:ascii="宋体" w:hAnsi="宋体" w:cs="宋体"/>
                <w:sz w:val="20"/>
                <w:szCs w:val="20"/>
                <w:lang w:val="en-GB" w:eastAsia="zh-CN"/>
              </w:rPr>
              <w:t>组合作，确立</w:t>
            </w:r>
            <w:r>
              <w:rPr>
                <w:rFonts w:hint="eastAsia" w:ascii="Verdana" w:hAnsi="Verdana" w:eastAsiaTheme="minorEastAsia"/>
                <w:sz w:val="20"/>
                <w:szCs w:val="20"/>
                <w:lang w:val="en-GB" w:eastAsia="zh-CN"/>
              </w:rPr>
              <w:t>WMO</w:t>
            </w:r>
            <w:r>
              <w:rPr>
                <w:rFonts w:hint="eastAsia" w:ascii="宋体" w:hAnsi="宋体" w:cs="宋体"/>
                <w:sz w:val="20"/>
                <w:szCs w:val="20"/>
                <w:lang w:val="en-GB" w:eastAsia="zh-CN"/>
              </w:rPr>
              <w:t>作为</w:t>
            </w:r>
            <w:r>
              <w:rPr>
                <w:rFonts w:hint="eastAsia" w:ascii="Verdana" w:hAnsi="Verdana" w:eastAsiaTheme="minorEastAsia"/>
                <w:sz w:val="20"/>
                <w:szCs w:val="20"/>
                <w:lang w:val="en-GB" w:eastAsia="zh-CN"/>
              </w:rPr>
              <w:t>SOFF</w:t>
            </w:r>
            <w:r>
              <w:rPr>
                <w:rFonts w:hint="eastAsia" w:ascii="宋体" w:hAnsi="宋体" w:cs="宋体"/>
                <w:sz w:val="20"/>
                <w:szCs w:val="20"/>
                <w:lang w:val="en-GB" w:eastAsia="zh-CN"/>
              </w:rPr>
              <w:t>技术权威的职能。</w:t>
            </w:r>
          </w:p>
          <w:p>
            <w:pPr>
              <w:pStyle w:val="318"/>
              <w:numPr>
                <w:ilvl w:val="0"/>
                <w:numId w:val="9"/>
              </w:numPr>
              <w:spacing w:before="120" w:after="120" w:line="240" w:lineRule="auto"/>
              <w:ind w:left="426" w:hanging="283"/>
              <w:rPr>
                <w:rFonts w:ascii="Verdana" w:hAnsi="Verdana" w:eastAsiaTheme="minorEastAsia" w:cstheme="minorEastAsia"/>
                <w:sz w:val="20"/>
                <w:szCs w:val="20"/>
                <w:lang w:val="en-GB" w:eastAsia="en-US"/>
              </w:rPr>
            </w:pPr>
            <w:r>
              <w:rPr>
                <w:rFonts w:hint="eastAsia" w:ascii="宋体" w:hAnsi="宋体" w:cs="宋体"/>
                <w:sz w:val="20"/>
                <w:szCs w:val="20"/>
                <w:lang w:val="en-GB" w:eastAsia="en-US"/>
              </w:rPr>
              <w:t>与</w:t>
            </w:r>
            <w:r>
              <w:rPr>
                <w:rFonts w:hint="eastAsia" w:ascii="Verdana" w:hAnsi="Verdana" w:eastAsiaTheme="minorEastAsia" w:cstheme="minorEastAsia"/>
                <w:sz w:val="20"/>
                <w:szCs w:val="20"/>
                <w:lang w:val="en-GB" w:eastAsia="en-US"/>
              </w:rPr>
              <w:t>WMO</w:t>
            </w:r>
            <w:r>
              <w:rPr>
                <w:rFonts w:hint="eastAsia" w:ascii="宋体" w:hAnsi="宋体" w:cs="宋体"/>
                <w:sz w:val="20"/>
                <w:szCs w:val="20"/>
                <w:lang w:val="en-GB" w:eastAsia="en-US"/>
              </w:rPr>
              <w:t>秘书处和</w:t>
            </w:r>
            <w:r>
              <w:rPr>
                <w:rFonts w:hint="eastAsia" w:ascii="Verdana" w:hAnsi="Verdana" w:eastAsiaTheme="minorEastAsia" w:cstheme="minorEastAsia"/>
                <w:sz w:val="20"/>
                <w:szCs w:val="20"/>
                <w:lang w:val="en-GB" w:eastAsia="en-US"/>
              </w:rPr>
              <w:t>INFCOM</w:t>
            </w:r>
            <w:r>
              <w:rPr>
                <w:rFonts w:hint="eastAsia" w:ascii="宋体" w:hAnsi="宋体" w:cs="宋体"/>
                <w:sz w:val="20"/>
                <w:szCs w:val="20"/>
                <w:lang w:val="en-GB" w:eastAsia="en-US"/>
              </w:rPr>
              <w:t>组合作，为</w:t>
            </w:r>
            <w:r>
              <w:rPr>
                <w:rFonts w:hint="eastAsia" w:ascii="Verdana" w:hAnsi="Verdana" w:eastAsiaTheme="minorEastAsia" w:cstheme="minorEastAsia"/>
                <w:sz w:val="20"/>
                <w:szCs w:val="20"/>
                <w:lang w:val="en-GB" w:eastAsia="en-US"/>
              </w:rPr>
              <w:t>SOFF</w:t>
            </w:r>
            <w:r>
              <w:rPr>
                <w:rFonts w:hint="eastAsia" w:ascii="宋体" w:hAnsi="宋体" w:cs="宋体"/>
                <w:sz w:val="20"/>
                <w:szCs w:val="20"/>
                <w:lang w:val="en-GB" w:eastAsia="en-US"/>
              </w:rPr>
              <w:t>编制具体的</w:t>
            </w:r>
            <w:r>
              <w:rPr>
                <w:rFonts w:hint="eastAsia" w:ascii="Verdana" w:hAnsi="Verdana" w:eastAsiaTheme="minorEastAsia" w:cstheme="minorEastAsia"/>
                <w:sz w:val="20"/>
                <w:szCs w:val="20"/>
                <w:lang w:val="en-GB" w:eastAsia="en-US"/>
              </w:rPr>
              <w:t>WDQMS</w:t>
            </w:r>
            <w:r>
              <w:rPr>
                <w:rFonts w:hint="eastAsia" w:ascii="宋体" w:hAnsi="宋体" w:cs="宋体"/>
                <w:sz w:val="20"/>
                <w:szCs w:val="20"/>
                <w:lang w:val="en-GB" w:eastAsia="en-US"/>
              </w:rPr>
              <w:t>报告或</w:t>
            </w:r>
            <w:r>
              <w:rPr>
                <w:rFonts w:hint="eastAsia" w:ascii="Verdana" w:hAnsi="Verdana" w:cstheme="minorEastAsia"/>
                <w:sz w:val="20"/>
                <w:szCs w:val="20"/>
                <w:lang w:val="en-GB" w:eastAsia="zh-CN"/>
              </w:rPr>
              <w:t>OSCAR/地表</w:t>
            </w:r>
            <w:r>
              <w:rPr>
                <w:rFonts w:hint="eastAsia" w:ascii="宋体" w:hAnsi="宋体" w:cs="宋体"/>
                <w:sz w:val="20"/>
                <w:szCs w:val="20"/>
                <w:lang w:val="en-GB" w:eastAsia="zh-CN"/>
              </w:rPr>
              <w:t>功能</w:t>
            </w:r>
            <w:r>
              <w:rPr>
                <w:rFonts w:hint="eastAsia" w:ascii="宋体" w:hAnsi="宋体" w:cs="宋体"/>
                <w:sz w:val="20"/>
                <w:szCs w:val="20"/>
                <w:lang w:val="en-GB"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tcBorders>
              <w:top w:val="single" w:color="auto" w:sz="8" w:space="0"/>
              <w:left w:val="single" w:color="auto" w:sz="8" w:space="0"/>
              <w:bottom w:val="single" w:color="auto" w:sz="8" w:space="0"/>
              <w:right w:val="single" w:color="auto" w:sz="8" w:space="0"/>
            </w:tcBorders>
            <w:shd w:val="clear" w:color="auto" w:fill="FFFFFF" w:themeFill="background1"/>
          </w:tcPr>
          <w:p>
            <w:pPr>
              <w:spacing w:before="120" w:after="120"/>
              <w:rPr>
                <w:rFonts w:eastAsia="宋体" w:cs="Calibri"/>
                <w:sz w:val="20"/>
                <w:szCs w:val="20"/>
                <w:lang w:eastAsia="zh-CN"/>
              </w:rPr>
            </w:pPr>
            <w:r>
              <w:rPr>
                <w:rFonts w:eastAsia="Calibri" w:cs="Calibri"/>
                <w:sz w:val="20"/>
                <w:szCs w:val="20"/>
                <w:lang w:eastAsia="en-US"/>
              </w:rPr>
              <w:t>INFCOM</w:t>
            </w:r>
            <w:r>
              <w:rPr>
                <w:rFonts w:hint="eastAsia" w:eastAsia="宋体" w:cs="Calibri"/>
                <w:sz w:val="20"/>
                <w:szCs w:val="20"/>
                <w:lang w:val="en-US" w:eastAsia="zh-CN"/>
              </w:rPr>
              <w:t>主席</w:t>
            </w:r>
          </w:p>
        </w:tc>
        <w:tc>
          <w:tcPr>
            <w:tcW w:w="3808" w:type="pct"/>
            <w:tcBorders>
              <w:top w:val="single" w:color="auto" w:sz="8" w:space="0"/>
              <w:left w:val="single" w:color="auto" w:sz="8" w:space="0"/>
              <w:bottom w:val="single" w:color="auto" w:sz="8" w:space="0"/>
              <w:right w:val="single" w:color="auto" w:sz="8" w:space="0"/>
            </w:tcBorders>
            <w:shd w:val="clear" w:color="auto" w:fill="FFFFFF" w:themeFill="background1"/>
            <w:vAlign w:val="center"/>
          </w:tcPr>
          <w:p>
            <w:pPr>
              <w:pStyle w:val="318"/>
              <w:numPr>
                <w:ilvl w:val="0"/>
                <w:numId w:val="7"/>
              </w:numPr>
              <w:spacing w:before="120" w:after="120" w:line="240" w:lineRule="auto"/>
              <w:ind w:left="426" w:hanging="284"/>
              <w:rPr>
                <w:rFonts w:ascii="Verdana" w:hAnsi="Verdana"/>
                <w:sz w:val="20"/>
                <w:szCs w:val="20"/>
                <w:lang w:val="en-GB" w:eastAsia="zh-CN"/>
              </w:rPr>
            </w:pPr>
            <w:r>
              <w:rPr>
                <w:rFonts w:hint="eastAsia" w:ascii="Verdana" w:hAnsi="Verdana"/>
                <w:sz w:val="20"/>
                <w:szCs w:val="20"/>
                <w:lang w:val="en-GB" w:eastAsia="zh-CN"/>
              </w:rPr>
              <w:t>与管理组，特别是SC-ON主席协商，审查拟纳入GBON的第一批台站的列表。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192" w:type="pct"/>
            <w:tcBorders>
              <w:top w:val="single" w:color="auto" w:sz="8" w:space="0"/>
              <w:left w:val="single" w:color="auto" w:sz="8" w:space="0"/>
              <w:bottom w:val="single" w:color="auto" w:sz="8" w:space="0"/>
              <w:right w:val="single" w:color="auto" w:sz="8" w:space="0"/>
            </w:tcBorders>
            <w:shd w:val="clear" w:color="auto" w:fill="FFFFFF" w:themeFill="background1"/>
          </w:tcPr>
          <w:p>
            <w:pPr>
              <w:spacing w:before="120" w:after="120"/>
              <w:rPr>
                <w:rFonts w:eastAsia="宋体" w:cs="Calibri"/>
                <w:sz w:val="20"/>
                <w:szCs w:val="20"/>
                <w:lang w:val="en-US" w:eastAsia="zh-CN"/>
              </w:rPr>
            </w:pPr>
            <w:r>
              <w:rPr>
                <w:rFonts w:eastAsia="Calibri" w:cs="Calibri"/>
                <w:sz w:val="20"/>
                <w:szCs w:val="20"/>
                <w:lang w:eastAsia="en-US"/>
              </w:rPr>
              <w:t>INFCOM</w:t>
            </w:r>
            <w:r>
              <w:rPr>
                <w:rFonts w:hint="eastAsia" w:eastAsia="宋体" w:cs="Calibri"/>
                <w:sz w:val="20"/>
                <w:szCs w:val="20"/>
                <w:lang w:val="en-US" w:eastAsia="zh-CN"/>
              </w:rPr>
              <w:t>组</w:t>
            </w:r>
          </w:p>
        </w:tc>
        <w:tc>
          <w:tcPr>
            <w:tcW w:w="3808" w:type="pct"/>
            <w:tcBorders>
              <w:top w:val="single" w:color="auto" w:sz="8" w:space="0"/>
              <w:left w:val="single" w:color="auto" w:sz="8" w:space="0"/>
              <w:bottom w:val="single" w:color="auto" w:sz="8" w:space="0"/>
              <w:right w:val="single" w:color="auto" w:sz="8" w:space="0"/>
            </w:tcBorders>
            <w:shd w:val="clear" w:color="auto" w:fill="FFFFFF" w:themeFill="background1"/>
            <w:vAlign w:val="center"/>
          </w:tcPr>
          <w:p>
            <w:pPr>
              <w:pStyle w:val="318"/>
              <w:numPr>
                <w:ilvl w:val="0"/>
                <w:numId w:val="7"/>
              </w:numPr>
              <w:spacing w:before="120" w:after="120" w:line="240" w:lineRule="auto"/>
              <w:ind w:left="404" w:hanging="284"/>
              <w:rPr>
                <w:rFonts w:ascii="Verdana" w:hAnsi="Verdana"/>
                <w:sz w:val="20"/>
                <w:szCs w:val="20"/>
                <w:lang w:val="en-GB" w:eastAsia="zh-CN"/>
              </w:rPr>
            </w:pPr>
            <w:r>
              <w:rPr>
                <w:rFonts w:hint="eastAsia" w:ascii="Verdana" w:hAnsi="Verdana"/>
                <w:sz w:val="20"/>
                <w:szCs w:val="20"/>
                <w:lang w:val="en-GB" w:eastAsia="zh-CN"/>
              </w:rPr>
              <w:t>在WMO秘书处的协助下，编制会员级评估报告（季度和年度）。</w:t>
            </w:r>
          </w:p>
          <w:p>
            <w:pPr>
              <w:pStyle w:val="318"/>
              <w:numPr>
                <w:ilvl w:val="0"/>
                <w:numId w:val="7"/>
              </w:numPr>
              <w:spacing w:before="120" w:after="120" w:line="240" w:lineRule="auto"/>
              <w:ind w:left="404" w:hanging="284"/>
              <w:rPr>
                <w:rFonts w:ascii="Verdana" w:hAnsi="Verdana"/>
                <w:sz w:val="20"/>
                <w:szCs w:val="20"/>
                <w:lang w:val="en-GB" w:eastAsia="zh-CN"/>
              </w:rPr>
            </w:pPr>
            <w:r>
              <w:rPr>
                <w:rFonts w:hint="eastAsia" w:ascii="Verdana" w:hAnsi="Verdana"/>
                <w:sz w:val="20"/>
                <w:szCs w:val="20"/>
                <w:lang w:val="en-GB" w:eastAsia="zh-CN"/>
              </w:rPr>
              <w:t>制定必要的技术准则、流程和程序，确保迅速、有效地实施GBON，并为GBON的有效运行和合规监测做好准备；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tcBorders>
              <w:top w:val="single" w:color="auto" w:sz="8" w:space="0"/>
              <w:left w:val="single" w:color="auto" w:sz="8" w:space="0"/>
              <w:bottom w:val="single" w:color="auto" w:sz="8" w:space="0"/>
              <w:right w:val="single" w:color="auto" w:sz="8" w:space="0"/>
            </w:tcBorders>
            <w:shd w:val="clear" w:color="auto" w:fill="FFFFFF" w:themeFill="background1"/>
          </w:tcPr>
          <w:p>
            <w:pPr>
              <w:spacing w:before="120" w:after="120"/>
              <w:rPr>
                <w:rFonts w:eastAsia="宋体" w:cs="Calibri"/>
                <w:sz w:val="20"/>
                <w:szCs w:val="20"/>
                <w:lang w:val="en-US" w:eastAsia="zh-CN"/>
              </w:rPr>
            </w:pPr>
            <w:r>
              <w:rPr>
                <w:rFonts w:eastAsia="Calibri" w:cs="Calibri"/>
                <w:sz w:val="20"/>
                <w:szCs w:val="20"/>
                <w:lang w:eastAsia="en-US"/>
              </w:rPr>
              <w:t>INFCOM</w:t>
            </w:r>
            <w:r>
              <w:rPr>
                <w:rFonts w:hint="eastAsia" w:eastAsia="宋体" w:cs="Calibri"/>
                <w:sz w:val="20"/>
                <w:szCs w:val="20"/>
                <w:lang w:val="en-US" w:eastAsia="zh-CN"/>
              </w:rPr>
              <w:t>届会</w:t>
            </w:r>
          </w:p>
        </w:tc>
        <w:tc>
          <w:tcPr>
            <w:tcW w:w="3808" w:type="pct"/>
            <w:tcBorders>
              <w:top w:val="single" w:color="auto" w:sz="8" w:space="0"/>
              <w:left w:val="single" w:color="auto" w:sz="8" w:space="0"/>
              <w:bottom w:val="single" w:color="auto" w:sz="8" w:space="0"/>
              <w:right w:val="single" w:color="auto" w:sz="8" w:space="0"/>
            </w:tcBorders>
            <w:shd w:val="clear" w:color="auto" w:fill="FFFFFF" w:themeFill="background1"/>
            <w:vAlign w:val="center"/>
          </w:tcPr>
          <w:p>
            <w:pPr>
              <w:pStyle w:val="318"/>
              <w:numPr>
                <w:ilvl w:val="0"/>
                <w:numId w:val="7"/>
              </w:numPr>
              <w:spacing w:before="120" w:after="120" w:line="240" w:lineRule="auto"/>
              <w:ind w:left="404" w:hanging="284"/>
              <w:rPr>
                <w:rFonts w:ascii="Verdana" w:hAnsi="Verdana"/>
                <w:sz w:val="20"/>
                <w:szCs w:val="20"/>
                <w:lang w:val="en-GB" w:eastAsia="zh-CN"/>
              </w:rPr>
            </w:pPr>
            <w:r>
              <w:rPr>
                <w:rFonts w:hint="eastAsia" w:ascii="Verdana" w:hAnsi="Verdana"/>
                <w:sz w:val="20"/>
                <w:szCs w:val="20"/>
                <w:lang w:val="en-GB" w:eastAsia="zh-CN"/>
              </w:rPr>
              <w:t>在其届会上批准GBON的台站列表。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tcBorders>
              <w:top w:val="single" w:color="auto" w:sz="8" w:space="0"/>
              <w:left w:val="single" w:color="auto" w:sz="8" w:space="0"/>
              <w:bottom w:val="single" w:color="auto" w:sz="8" w:space="0"/>
              <w:right w:val="single" w:color="auto" w:sz="8" w:space="0"/>
            </w:tcBorders>
            <w:shd w:val="clear" w:color="auto" w:fill="FFFFFF" w:themeFill="background1"/>
          </w:tcPr>
          <w:p>
            <w:pPr>
              <w:spacing w:before="120" w:after="120"/>
              <w:rPr>
                <w:rFonts w:eastAsia="Calibri" w:cs="Calibri"/>
                <w:sz w:val="20"/>
                <w:szCs w:val="20"/>
                <w:lang w:eastAsia="en-US"/>
              </w:rPr>
            </w:pPr>
            <w:r>
              <w:rPr>
                <w:rFonts w:hint="eastAsia" w:ascii="宋体" w:hAnsi="宋体" w:eastAsia="宋体" w:cs="宋体"/>
                <w:sz w:val="20"/>
                <w:szCs w:val="20"/>
                <w:lang w:eastAsia="en-US"/>
              </w:rPr>
              <w:t>大会</w:t>
            </w:r>
          </w:p>
        </w:tc>
        <w:tc>
          <w:tcPr>
            <w:tcW w:w="3808" w:type="pct"/>
            <w:tcBorders>
              <w:top w:val="single" w:color="auto" w:sz="8" w:space="0"/>
              <w:left w:val="single" w:color="auto" w:sz="8" w:space="0"/>
              <w:bottom w:val="single" w:color="auto" w:sz="8" w:space="0"/>
              <w:right w:val="single" w:color="auto" w:sz="8" w:space="0"/>
            </w:tcBorders>
            <w:shd w:val="clear" w:color="auto" w:fill="FFFFFF" w:themeFill="background1"/>
            <w:vAlign w:val="center"/>
          </w:tcPr>
          <w:p>
            <w:pPr>
              <w:pStyle w:val="318"/>
              <w:numPr>
                <w:ilvl w:val="0"/>
                <w:numId w:val="7"/>
              </w:numPr>
              <w:spacing w:before="120" w:after="120" w:line="240" w:lineRule="auto"/>
              <w:ind w:left="404" w:hanging="284"/>
              <w:rPr>
                <w:rFonts w:ascii="Verdana" w:hAnsi="Verdana"/>
                <w:sz w:val="20"/>
                <w:szCs w:val="20"/>
                <w:lang w:val="en-GB" w:eastAsia="zh-CN"/>
              </w:rPr>
            </w:pPr>
            <w:r>
              <w:rPr>
                <w:rFonts w:hint="eastAsia" w:ascii="Verdana" w:hAnsi="Verdana"/>
                <w:sz w:val="20"/>
                <w:szCs w:val="20"/>
                <w:lang w:val="en-GB" w:eastAsia="zh-CN"/>
              </w:rPr>
              <w:t>通过拟纳入GBON的第一批台站的列表（然后委托INFCOM维护GBON的运行）。</w:t>
            </w:r>
          </w:p>
        </w:tc>
      </w:tr>
    </w:tbl>
    <w:p>
      <w:pPr>
        <w:pStyle w:val="318"/>
        <w:spacing w:before="480" w:after="200" w:line="276" w:lineRule="auto"/>
        <w:ind w:left="357" w:hanging="357"/>
        <w:outlineLvl w:val="2"/>
        <w:rPr>
          <w:rFonts w:ascii="微软雅黑" w:hAnsi="微软雅黑" w:eastAsia="微软雅黑" w:cs="微软雅黑"/>
          <w:b/>
          <w:bCs/>
          <w:sz w:val="20"/>
          <w:szCs w:val="20"/>
          <w:lang w:val="en-GB" w:eastAsia="zh-CN"/>
        </w:rPr>
      </w:pPr>
      <w:r>
        <w:rPr>
          <w:rFonts w:ascii="Verdana" w:hAnsi="Verdana"/>
          <w:b/>
          <w:bCs/>
          <w:sz w:val="20"/>
          <w:szCs w:val="20"/>
          <w:lang w:val="en-GB" w:eastAsia="zh-CN"/>
        </w:rPr>
        <w:t>5.2</w:t>
      </w:r>
      <w:r>
        <w:rPr>
          <w:rFonts w:ascii="Verdana" w:hAnsi="Verdana"/>
          <w:b/>
          <w:bCs/>
          <w:sz w:val="20"/>
          <w:szCs w:val="20"/>
          <w:lang w:val="en-GB" w:eastAsia="zh-CN"/>
        </w:rPr>
        <w:tab/>
      </w:r>
      <w:r>
        <w:rPr>
          <w:rFonts w:ascii="Verdana" w:hAnsi="Verdana"/>
          <w:b/>
          <w:bCs/>
          <w:sz w:val="20"/>
          <w:szCs w:val="20"/>
          <w:lang w:val="en-GB" w:eastAsia="zh-CN"/>
        </w:rPr>
        <w:tab/>
      </w:r>
      <w:r>
        <w:rPr>
          <w:rFonts w:hint="eastAsia" w:ascii="微软雅黑" w:hAnsi="微软雅黑" w:eastAsia="微软雅黑" w:cs="微软雅黑"/>
          <w:b/>
          <w:bCs/>
          <w:sz w:val="20"/>
          <w:szCs w:val="20"/>
          <w:lang w:val="en-GB" w:eastAsia="zh-CN"/>
        </w:rPr>
        <w:t>国家</w:t>
      </w:r>
      <w:r>
        <w:rPr>
          <w:rFonts w:hint="eastAsia" w:ascii="Verdana" w:hAnsi="Verdana"/>
          <w:b/>
          <w:bCs/>
          <w:sz w:val="20"/>
          <w:szCs w:val="20"/>
          <w:lang w:val="en-GB" w:eastAsia="zh-CN"/>
        </w:rPr>
        <w:t>GBON</w:t>
      </w:r>
      <w:r>
        <w:rPr>
          <w:rFonts w:hint="eastAsia" w:ascii="微软雅黑" w:hAnsi="微软雅黑" w:eastAsia="微软雅黑" w:cs="微软雅黑"/>
          <w:b/>
          <w:bCs/>
          <w:sz w:val="20"/>
          <w:szCs w:val="20"/>
          <w:lang w:val="en-GB" w:eastAsia="zh-CN"/>
        </w:rPr>
        <w:t>差距分析</w:t>
      </w:r>
    </w:p>
    <w:p>
      <w:pPr>
        <w:pStyle w:val="318"/>
        <w:spacing w:after="240" w:line="240" w:lineRule="exact"/>
        <w:ind w:left="0"/>
        <w:rPr>
          <w:rFonts w:ascii="Verdana" w:hAnsi="Verdana"/>
          <w:sz w:val="20"/>
          <w:szCs w:val="20"/>
          <w:lang w:val="en-GB" w:eastAsia="zh-CN"/>
        </w:rPr>
      </w:pPr>
      <w:r>
        <w:rPr>
          <w:rFonts w:hint="eastAsia" w:ascii="Verdana" w:hAnsi="Verdana"/>
          <w:sz w:val="20"/>
          <w:szCs w:val="20"/>
          <w:lang w:val="en-GB" w:eastAsia="zh-CN"/>
        </w:rPr>
        <w:t>为了在国家一级实施GBON，鼓励会员完成国家GBON差距分析，了解所需观测网中存在的差距，并确定其对GBON的贡献以缩小已确定的差距。</w:t>
      </w:r>
    </w:p>
    <w:p>
      <w:pPr>
        <w:pStyle w:val="318"/>
        <w:spacing w:after="240" w:line="240" w:lineRule="exact"/>
        <w:ind w:left="0"/>
        <w:rPr>
          <w:rFonts w:ascii="Verdana" w:hAnsi="Verdana"/>
          <w:sz w:val="20"/>
          <w:szCs w:val="20"/>
          <w:lang w:val="en-GB" w:eastAsia="zh-CN"/>
        </w:rPr>
      </w:pPr>
      <w:r>
        <w:rPr>
          <w:rFonts w:hint="eastAsia" w:ascii="Verdana" w:hAnsi="Verdana"/>
          <w:sz w:val="20"/>
          <w:szCs w:val="20"/>
          <w:lang w:val="en-GB" w:eastAsia="zh-CN"/>
        </w:rPr>
        <w:t>差距分析是实施GBON规则的起始阶段。分析的目的是确定GBON的要求与现有地面、高空和海洋观测网之间的差距。换句话说，在分析的基础上，才能确定需要新建或升级的观测站数量，进而达到GBON要求。</w:t>
      </w:r>
    </w:p>
    <w:p>
      <w:pPr>
        <w:pStyle w:val="318"/>
        <w:spacing w:after="240" w:line="240" w:lineRule="exact"/>
        <w:ind w:left="0"/>
        <w:rPr>
          <w:rFonts w:ascii="Verdana" w:hAnsi="Verdana"/>
          <w:sz w:val="20"/>
          <w:szCs w:val="20"/>
          <w:lang w:val="en-GB" w:eastAsia="zh-CN"/>
        </w:rPr>
      </w:pPr>
      <w:r>
        <w:rPr>
          <w:rFonts w:hint="eastAsia" w:ascii="Verdana" w:hAnsi="Verdana"/>
          <w:sz w:val="20"/>
          <w:szCs w:val="20"/>
          <w:lang w:val="en-GB" w:eastAsia="zh-CN"/>
        </w:rPr>
        <w:t>下文介绍了根据GBON要求逐步开展国家GBON差距分析的过程。分析结果有助于会员评估其现有网络是否满足要求，制定必要的行动计划来升级观测网，并将首批台站纳入GBON。</w:t>
      </w:r>
    </w:p>
    <w:p>
      <w:pPr>
        <w:pStyle w:val="318"/>
        <w:spacing w:after="240" w:line="240" w:lineRule="exact"/>
        <w:ind w:left="0"/>
        <w:rPr>
          <w:rFonts w:ascii="Verdana" w:hAnsi="Verdana"/>
          <w:sz w:val="20"/>
          <w:szCs w:val="20"/>
          <w:lang w:val="en-GB" w:eastAsia="zh-CN"/>
        </w:rPr>
      </w:pPr>
      <w:r>
        <w:rPr>
          <w:rFonts w:hint="eastAsia" w:ascii="Verdana" w:hAnsi="Verdana"/>
          <w:sz w:val="20"/>
          <w:szCs w:val="20"/>
          <w:lang w:val="en-GB" w:eastAsia="zh-CN"/>
        </w:rPr>
        <w:t>分析结果也为国家GBON贡献计划提供了客观和量化基础，贡献计划的编制（详见第4.4节和附件2）会考虑遵守GBON规则的最佳方法和活动。第3.2.1节总结了GBON规则。</w:t>
      </w:r>
    </w:p>
    <w:p>
      <w:pPr>
        <w:keepNext/>
        <w:keepLines/>
        <w:spacing w:after="240" w:line="240" w:lineRule="exact"/>
        <w:rPr>
          <w:rFonts w:eastAsia="MS Gothic" w:cs="Segoe UI"/>
          <w:b/>
          <w:bCs/>
          <w:lang w:eastAsia="zh-CN"/>
        </w:rPr>
      </w:pPr>
      <w:bookmarkStart w:id="21" w:name="_Toc103697457"/>
      <w:bookmarkEnd w:id="21"/>
      <w:bookmarkStart w:id="22" w:name="_Toc103695246"/>
      <w:bookmarkEnd w:id="22"/>
      <w:bookmarkStart w:id="23" w:name="_Toc103697486"/>
      <w:bookmarkEnd w:id="23"/>
      <w:bookmarkStart w:id="24" w:name="_Toc105166398"/>
      <w:r>
        <w:rPr>
          <w:rFonts w:eastAsia="MS Gothic" w:cs="Segoe UI"/>
          <w:b/>
          <w:bCs/>
          <w:lang w:eastAsia="zh-CN"/>
        </w:rPr>
        <w:t>5.2.1</w:t>
      </w:r>
      <w:r>
        <w:rPr>
          <w:rFonts w:eastAsia="MS Gothic" w:cs="Segoe UI"/>
          <w:b/>
          <w:bCs/>
          <w:lang w:eastAsia="zh-CN"/>
        </w:rPr>
        <w:tab/>
      </w:r>
      <w:bookmarkEnd w:id="24"/>
      <w:r>
        <w:rPr>
          <w:rFonts w:hint="eastAsia" w:ascii="微软雅黑" w:hAnsi="微软雅黑" w:eastAsia="微软雅黑" w:cs="微软雅黑"/>
          <w:b/>
          <w:bCs/>
          <w:lang w:eastAsia="zh-CN"/>
        </w:rPr>
        <w:t>差距分析步骤</w:t>
      </w:r>
    </w:p>
    <w:p>
      <w:pPr>
        <w:keepNext/>
        <w:keepLines/>
        <w:spacing w:after="240" w:line="240" w:lineRule="exact"/>
        <w:rPr>
          <w:rFonts w:eastAsia="Verdana" w:cs="Segoe UI"/>
          <w:lang w:eastAsia="zh-CN"/>
        </w:rPr>
      </w:pPr>
      <w:r>
        <w:rPr>
          <w:rFonts w:hint="eastAsia" w:ascii="宋体" w:hAnsi="宋体" w:eastAsia="宋体" w:cs="宋体"/>
          <w:i/>
          <w:iCs/>
          <w:lang w:eastAsia="zh-CN"/>
        </w:rPr>
        <w:t>全球</w:t>
      </w:r>
      <w:r>
        <w:rPr>
          <w:rFonts w:hint="eastAsia" w:ascii="宋体" w:hAnsi="宋体" w:eastAsia="宋体" w:cs="宋体"/>
          <w:lang w:eastAsia="zh-CN"/>
        </w:rPr>
        <w:t>差距分析对每个国家满足</w:t>
      </w:r>
      <w:r>
        <w:rPr>
          <w:rFonts w:hint="eastAsia" w:eastAsia="Verdana" w:cs="Segoe UI"/>
          <w:lang w:eastAsia="zh-CN"/>
        </w:rPr>
        <w:t>GBON</w:t>
      </w:r>
      <w:r>
        <w:rPr>
          <w:rFonts w:hint="eastAsia" w:ascii="宋体" w:hAnsi="宋体" w:eastAsia="宋体" w:cs="宋体"/>
          <w:lang w:eastAsia="zh-CN"/>
        </w:rPr>
        <w:t>要求所需的地面和高空观测站的数量进行了定量估计。</w:t>
      </w:r>
      <w:r>
        <w:rPr>
          <w:rFonts w:hint="eastAsia" w:eastAsia="Verdana" w:cs="Segoe UI"/>
          <w:lang w:eastAsia="zh-CN"/>
        </w:rPr>
        <w:t>WMO</w:t>
      </w:r>
      <w:r>
        <w:rPr>
          <w:rFonts w:hint="eastAsia" w:ascii="宋体" w:hAnsi="宋体" w:eastAsia="宋体" w:cs="宋体"/>
          <w:lang w:eastAsia="zh-CN"/>
        </w:rPr>
        <w:t>秘书处根据</w:t>
      </w:r>
      <w:r>
        <w:rPr>
          <w:rFonts w:hint="eastAsia" w:eastAsia="Verdana" w:cs="Segoe UI"/>
          <w:lang w:eastAsia="zh-CN"/>
        </w:rPr>
        <w:t>WDQMS</w:t>
      </w:r>
      <w:r>
        <w:rPr>
          <w:rFonts w:hint="eastAsia" w:ascii="宋体" w:hAnsi="宋体" w:eastAsia="宋体" w:cs="宋体"/>
          <w:lang w:eastAsia="zh-CN"/>
        </w:rPr>
        <w:t>网络工具提供的信息，完成了关于哪些台站在国际上共享数据的全球分析。这将作为国家评估现有观测网是否达到目标台站数量的基准。</w:t>
      </w:r>
    </w:p>
    <w:p>
      <w:pPr>
        <w:spacing w:after="240" w:line="240" w:lineRule="exact"/>
        <w:textAlignment w:val="baseline"/>
        <w:rPr>
          <w:rFonts w:ascii="宋体" w:hAnsi="宋体" w:eastAsia="宋体" w:cs="宋体"/>
          <w:lang w:eastAsia="zh-CN"/>
        </w:rPr>
      </w:pPr>
      <w:r>
        <w:rPr>
          <w:rStyle w:val="338"/>
          <w:rFonts w:hint="eastAsia" w:ascii="宋体" w:hAnsi="宋体" w:eastAsia="宋体" w:cs="宋体"/>
          <w:lang w:eastAsia="zh-CN"/>
        </w:rPr>
        <w:t>完成国家</w:t>
      </w:r>
      <w:r>
        <w:rPr>
          <w:rStyle w:val="338"/>
          <w:rFonts w:hint="eastAsia"/>
          <w:lang w:eastAsia="zh-CN"/>
        </w:rPr>
        <w:t>GBON</w:t>
      </w:r>
      <w:r>
        <w:rPr>
          <w:rStyle w:val="338"/>
          <w:rFonts w:hint="eastAsia" w:ascii="宋体" w:hAnsi="宋体" w:eastAsia="宋体" w:cs="宋体"/>
          <w:lang w:eastAsia="zh-CN"/>
        </w:rPr>
        <w:t>差距分析报告的模板见</w:t>
      </w:r>
      <w:r>
        <w:rPr>
          <w:rStyle w:val="338"/>
          <w:rFonts w:hint="eastAsia" w:ascii="宋体" w:hAnsi="宋体" w:eastAsia="宋体" w:cs="宋体"/>
        </w:rPr>
        <w:fldChar w:fldCharType="begin"/>
      </w:r>
      <w:r>
        <w:rPr>
          <w:rStyle w:val="338"/>
          <w:rFonts w:hint="eastAsia" w:ascii="宋体" w:hAnsi="宋体" w:eastAsia="宋体" w:cs="宋体"/>
          <w:lang w:eastAsia="zh-CN"/>
        </w:rPr>
        <w:instrText xml:space="preserve"> HYPERLINK "https://community.wmo.int/en/activity-areas/wigos/gbon/implementation-global-basic-observing-network-gbon/defining-initial-composition-gbon/references-gbon-material" </w:instrText>
      </w:r>
      <w:r>
        <w:rPr>
          <w:rStyle w:val="338"/>
          <w:rFonts w:hint="eastAsia" w:ascii="宋体" w:hAnsi="宋体" w:eastAsia="宋体" w:cs="宋体"/>
        </w:rPr>
        <w:fldChar w:fldCharType="separate"/>
      </w:r>
      <w:r>
        <w:rPr>
          <w:rStyle w:val="43"/>
          <w:rFonts w:eastAsia="宋体" w:cs="Verdana"/>
          <w:lang w:eastAsia="zh-CN"/>
        </w:rPr>
        <w:t>GBON</w:t>
      </w:r>
      <w:r>
        <w:rPr>
          <w:rStyle w:val="43"/>
          <w:rFonts w:hint="eastAsia" w:ascii="宋体" w:hAnsi="宋体" w:eastAsia="宋体" w:cs="宋体"/>
          <w:lang w:eastAsia="zh-CN"/>
        </w:rPr>
        <w:t>材料参考</w:t>
      </w:r>
      <w:r>
        <w:rPr>
          <w:rStyle w:val="338"/>
          <w:rFonts w:hint="eastAsia" w:ascii="宋体" w:hAnsi="宋体" w:eastAsia="宋体" w:cs="宋体"/>
        </w:rPr>
        <w:fldChar w:fldCharType="end"/>
      </w:r>
      <w:r>
        <w:rPr>
          <w:rStyle w:val="338"/>
          <w:rFonts w:hint="eastAsia" w:ascii="宋体" w:hAnsi="宋体" w:eastAsia="宋体" w:cs="宋体"/>
          <w:lang w:eastAsia="zh-CN"/>
        </w:rPr>
        <w:t>。</w:t>
      </w:r>
      <w:r>
        <w:rPr>
          <w:rStyle w:val="338"/>
          <w:rFonts w:hint="eastAsia" w:ascii="宋体" w:hAnsi="宋体" w:eastAsia="宋体" w:cs="宋体"/>
          <w:i/>
          <w:iCs/>
          <w:lang w:eastAsia="zh-CN"/>
        </w:rPr>
        <w:t>（编者注：适时会上传至网站）。</w:t>
      </w:r>
    </w:p>
    <w:p>
      <w:pPr>
        <w:spacing w:after="240" w:line="240" w:lineRule="exact"/>
        <w:rPr>
          <w:rFonts w:ascii="微软雅黑" w:hAnsi="微软雅黑" w:eastAsia="微软雅黑" w:cs="微软雅黑"/>
          <w:b/>
          <w:bCs/>
          <w:lang w:eastAsia="zh-CN"/>
        </w:rPr>
      </w:pPr>
      <w:r>
        <w:rPr>
          <w:rFonts w:hint="eastAsia" w:ascii="微软雅黑" w:hAnsi="微软雅黑" w:eastAsia="微软雅黑" w:cs="微软雅黑"/>
          <w:b/>
          <w:bCs/>
          <w:lang w:eastAsia="zh-CN"/>
        </w:rPr>
        <w:t>步骤</w:t>
      </w:r>
      <w:r>
        <w:rPr>
          <w:rFonts w:eastAsia="微软雅黑" w:cs="Verdana"/>
          <w:b/>
          <w:bCs/>
          <w:lang w:val="en-US" w:eastAsia="zh-CN"/>
        </w:rPr>
        <w:t>1</w:t>
      </w:r>
      <w:r>
        <w:rPr>
          <w:rFonts w:hint="eastAsia" w:ascii="微软雅黑" w:hAnsi="微软雅黑" w:eastAsia="微软雅黑" w:cs="微软雅黑"/>
          <w:b/>
          <w:bCs/>
          <w:lang w:eastAsia="zh-CN"/>
        </w:rPr>
        <w:t>——</w:t>
      </w:r>
      <w:r>
        <w:rPr>
          <w:rFonts w:eastAsia="微软雅黑" w:cs="Verdana"/>
          <w:b/>
          <w:bCs/>
          <w:lang w:eastAsia="zh-CN"/>
        </w:rPr>
        <w:t>GBON</w:t>
      </w:r>
      <w:r>
        <w:rPr>
          <w:rFonts w:hint="eastAsia" w:ascii="微软雅黑" w:hAnsi="微软雅黑" w:eastAsia="微软雅黑" w:cs="微软雅黑"/>
          <w:b/>
          <w:bCs/>
          <w:lang w:eastAsia="zh-CN"/>
        </w:rPr>
        <w:t>水平分辨率要求分析</w:t>
      </w:r>
    </w:p>
    <w:p>
      <w:pPr>
        <w:spacing w:after="240" w:line="240" w:lineRule="exact"/>
        <w:rPr>
          <w:rFonts w:eastAsia="Calibri"/>
          <w:lang w:eastAsia="zh-CN"/>
        </w:rPr>
      </w:pPr>
      <w:r>
        <w:rPr>
          <w:rFonts w:hint="eastAsia" w:ascii="宋体" w:hAnsi="宋体" w:eastAsia="宋体" w:cs="宋体"/>
          <w:lang w:eastAsia="zh-CN"/>
        </w:rPr>
        <w:t>在这一步骤中，将根据</w:t>
      </w:r>
      <w:r>
        <w:rPr>
          <w:rFonts w:eastAsia="宋体" w:cs="Verdana"/>
          <w:lang w:eastAsia="zh-CN"/>
        </w:rPr>
        <w:t>WMO</w:t>
      </w:r>
      <w:r>
        <w:rPr>
          <w:rFonts w:hint="eastAsia" w:ascii="宋体" w:hAnsi="宋体" w:eastAsia="宋体" w:cs="宋体"/>
          <w:lang w:eastAsia="zh-CN"/>
        </w:rPr>
        <w:t>秘书处进行的全球</w:t>
      </w:r>
      <w:r>
        <w:rPr>
          <w:rFonts w:eastAsia="宋体" w:cs="Verdana"/>
          <w:lang w:eastAsia="zh-CN"/>
        </w:rPr>
        <w:t>GBON</w:t>
      </w:r>
      <w:r>
        <w:rPr>
          <w:rFonts w:hint="eastAsia" w:ascii="宋体" w:hAnsi="宋体" w:eastAsia="宋体" w:cs="宋体"/>
          <w:lang w:eastAsia="zh-CN"/>
        </w:rPr>
        <w:t>差距分析和会员的最终调整，分析各国的</w:t>
      </w:r>
      <w:r>
        <w:rPr>
          <w:rFonts w:eastAsia="宋体" w:cs="Verdana"/>
          <w:lang w:eastAsia="zh-CN"/>
        </w:rPr>
        <w:t>GBON</w:t>
      </w:r>
      <w:r>
        <w:rPr>
          <w:rFonts w:hint="eastAsia" w:ascii="宋体" w:hAnsi="宋体" w:eastAsia="宋体" w:cs="宋体"/>
          <w:lang w:eastAsia="zh-CN"/>
        </w:rPr>
        <w:t>水平分辨率要求。虽然全球差距分析是一种简化分析，但应审查目标</w:t>
      </w:r>
      <w:r>
        <w:rPr>
          <w:rFonts w:eastAsia="宋体" w:cs="Verdana"/>
          <w:lang w:eastAsia="zh-CN"/>
        </w:rPr>
        <w:t>GBON</w:t>
      </w:r>
      <w:r>
        <w:rPr>
          <w:rFonts w:hint="eastAsia" w:ascii="宋体" w:hAnsi="宋体" w:eastAsia="宋体" w:cs="宋体"/>
          <w:lang w:eastAsia="zh-CN"/>
        </w:rPr>
        <w:t>台站的数量，并由各会员根据需要进行调整。全球差距分析不包括对专属经济区（</w:t>
      </w:r>
      <w:r>
        <w:rPr>
          <w:rFonts w:eastAsia="宋体" w:cs="Verdana"/>
          <w:lang w:eastAsia="zh-CN"/>
        </w:rPr>
        <w:t>EEZ</w:t>
      </w:r>
      <w:r>
        <w:rPr>
          <w:rFonts w:hint="eastAsia" w:ascii="宋体" w:hAnsi="宋体" w:eastAsia="宋体" w:cs="宋体"/>
          <w:lang w:eastAsia="zh-CN"/>
        </w:rPr>
        <w:t>）的全面调查，因此，没有给出海洋观测站的目标数量。对于拥有</w:t>
      </w:r>
      <w:r>
        <w:rPr>
          <w:rFonts w:eastAsia="宋体" w:cs="Verdana"/>
          <w:lang w:eastAsia="zh-CN"/>
        </w:rPr>
        <w:t>EEZ</w:t>
      </w:r>
      <w:r>
        <w:rPr>
          <w:rFonts w:hint="eastAsia" w:ascii="宋体" w:hAnsi="宋体" w:eastAsia="宋体" w:cs="宋体"/>
          <w:lang w:eastAsia="zh-CN"/>
        </w:rPr>
        <w:t>的会员来说，需要评估海面观测网的初始</w:t>
      </w:r>
      <w:r>
        <w:rPr>
          <w:rFonts w:eastAsia="宋体" w:cs="Verdana"/>
          <w:lang w:eastAsia="zh-CN"/>
        </w:rPr>
        <w:t>GBON</w:t>
      </w:r>
      <w:r>
        <w:rPr>
          <w:rFonts w:hint="eastAsia" w:ascii="宋体" w:hAnsi="宋体" w:eastAsia="宋体" w:cs="宋体"/>
          <w:lang w:eastAsia="zh-CN"/>
        </w:rPr>
        <w:t>目标。领土分布在不同位置的会员应分别评估这些领土的</w:t>
      </w:r>
      <w:r>
        <w:rPr>
          <w:rFonts w:eastAsia="宋体" w:cs="Verdana"/>
          <w:lang w:eastAsia="zh-CN"/>
        </w:rPr>
        <w:t>GBON</w:t>
      </w:r>
      <w:r>
        <w:rPr>
          <w:rFonts w:hint="eastAsia" w:ascii="宋体" w:hAnsi="宋体" w:eastAsia="宋体" w:cs="宋体"/>
          <w:lang w:eastAsia="zh-CN"/>
        </w:rPr>
        <w:t>要求。</w:t>
      </w:r>
    </w:p>
    <w:p>
      <w:pPr>
        <w:spacing w:after="240" w:line="240" w:lineRule="exact"/>
        <w:rPr>
          <w:rFonts w:eastAsia="Calibri"/>
          <w:color w:val="000000"/>
          <w:shd w:val="clear" w:color="auto" w:fill="FFFFFF"/>
        </w:rPr>
      </w:pPr>
      <w:r>
        <w:rPr>
          <w:rFonts w:hint="eastAsia" w:ascii="宋体" w:hAnsi="宋体" w:eastAsia="宋体" w:cs="宋体"/>
          <w:color w:val="000000"/>
          <w:shd w:val="clear" w:color="auto" w:fill="FFFFFF"/>
        </w:rPr>
        <w:t>步骤</w:t>
      </w:r>
      <w:r>
        <w:rPr>
          <w:rFonts w:hint="eastAsia" w:eastAsia="Calibri"/>
          <w:color w:val="000000"/>
          <w:shd w:val="clear" w:color="auto" w:fill="FFFFFF"/>
        </w:rPr>
        <w:t>1</w:t>
      </w:r>
      <w:r>
        <w:rPr>
          <w:rFonts w:hint="eastAsia" w:ascii="宋体" w:hAnsi="宋体" w:eastAsia="宋体" w:cs="宋体"/>
          <w:color w:val="000000"/>
          <w:shd w:val="clear" w:color="auto" w:fill="FFFFFF"/>
        </w:rPr>
        <w:t>中的要素（表</w:t>
      </w:r>
      <w:r>
        <w:rPr>
          <w:rFonts w:hint="eastAsia" w:eastAsia="Calibri"/>
          <w:color w:val="000000"/>
          <w:shd w:val="clear" w:color="auto" w:fill="FFFFFF"/>
        </w:rPr>
        <w:t>5.2</w:t>
      </w:r>
      <w:r>
        <w:rPr>
          <w:rFonts w:hint="eastAsia" w:ascii="宋体" w:hAnsi="宋体" w:eastAsia="宋体" w:cs="宋体"/>
          <w:color w:val="000000"/>
          <w:shd w:val="clear" w:color="auto" w:fill="FFFFFF"/>
        </w:rPr>
        <w:t>）：</w:t>
      </w:r>
    </w:p>
    <w:p>
      <w:pPr>
        <w:pStyle w:val="318"/>
        <w:numPr>
          <w:ilvl w:val="0"/>
          <w:numId w:val="10"/>
        </w:numPr>
        <w:spacing w:after="240" w:line="240" w:lineRule="exact"/>
        <w:ind w:left="567" w:hanging="567"/>
        <w:rPr>
          <w:rFonts w:ascii="宋体" w:hAnsi="宋体" w:cs="宋体"/>
          <w:color w:val="000000"/>
          <w:sz w:val="20"/>
          <w:szCs w:val="20"/>
          <w:shd w:val="clear" w:color="auto" w:fill="FFFFFF"/>
          <w:lang w:val="en-GB"/>
        </w:rPr>
      </w:pPr>
      <w:r>
        <w:rPr>
          <w:rFonts w:hint="eastAsia" w:ascii="Verdana" w:hAnsi="Verdana" w:eastAsia="Calibri"/>
          <w:color w:val="000000"/>
          <w:sz w:val="20"/>
          <w:szCs w:val="20"/>
          <w:shd w:val="clear" w:color="auto" w:fill="FFFFFF"/>
          <w:lang w:val="en-GB" w:eastAsia="zh-CN"/>
        </w:rPr>
        <w:t>GBON</w:t>
      </w:r>
      <w:r>
        <w:rPr>
          <w:rFonts w:hint="eastAsia" w:ascii="宋体" w:hAnsi="宋体" w:cs="宋体"/>
          <w:color w:val="000000"/>
          <w:sz w:val="20"/>
          <w:szCs w:val="20"/>
          <w:shd w:val="clear" w:color="auto" w:fill="FFFFFF"/>
          <w:lang w:val="en-GB" w:eastAsia="zh-CN"/>
        </w:rPr>
        <w:t>水平分辨率要求：见</w:t>
      </w:r>
      <w:r>
        <w:fldChar w:fldCharType="begin"/>
      </w:r>
      <w:r>
        <w:instrText xml:space="preserve"> HYPERLINK "https://library.wmo.int/doc_num.php?explnum_id=11151" </w:instrText>
      </w:r>
      <w:r>
        <w:fldChar w:fldCharType="separate"/>
      </w:r>
      <w:r>
        <w:rPr>
          <w:rStyle w:val="43"/>
          <w:rFonts w:hint="eastAsia" w:ascii="宋体" w:hAnsi="宋体" w:cs="宋体"/>
          <w:sz w:val="20"/>
          <w:szCs w:val="20"/>
          <w:lang w:eastAsia="zh-CN"/>
        </w:rPr>
        <w:t>《</w:t>
      </w:r>
      <w:r>
        <w:rPr>
          <w:rStyle w:val="43"/>
          <w:rFonts w:ascii="Verdana" w:hAnsi="Verdana" w:cs="Verdana"/>
          <w:sz w:val="20"/>
          <w:szCs w:val="20"/>
          <w:lang w:eastAsia="zh-CN"/>
        </w:rPr>
        <w:t>WMO</w:t>
      </w:r>
      <w:r>
        <w:rPr>
          <w:rStyle w:val="43"/>
          <w:rFonts w:hint="eastAsia" w:ascii="宋体" w:hAnsi="宋体" w:cs="宋体"/>
          <w:sz w:val="20"/>
          <w:szCs w:val="20"/>
          <w:lang w:eastAsia="zh-CN"/>
        </w:rPr>
        <w:t>全球综合观测系统手册》</w:t>
      </w:r>
      <w:r>
        <w:rPr>
          <w:rStyle w:val="43"/>
          <w:rFonts w:hint="eastAsia" w:ascii="宋体" w:hAnsi="宋体" w:cs="宋体"/>
          <w:sz w:val="20"/>
          <w:szCs w:val="20"/>
          <w:lang w:eastAsia="zh-CN"/>
        </w:rPr>
        <w:fldChar w:fldCharType="end"/>
      </w:r>
      <w:r>
        <w:rPr>
          <w:rFonts w:hint="eastAsia" w:ascii="宋体" w:hAnsi="宋体" w:cs="宋体"/>
          <w:sz w:val="20"/>
          <w:szCs w:val="20"/>
          <w:lang w:eastAsia="zh-CN"/>
        </w:rPr>
        <w:t>（</w:t>
      </w:r>
      <w:r>
        <w:rPr>
          <w:rFonts w:ascii="Verdana" w:hAnsi="Verdana"/>
          <w:sz w:val="20"/>
          <w:szCs w:val="20"/>
          <w:lang w:eastAsia="zh-CN"/>
        </w:rPr>
        <w:t xml:space="preserve">WMO-No. </w:t>
      </w:r>
      <w:r>
        <w:rPr>
          <w:rFonts w:ascii="Verdana" w:hAnsi="Verdana"/>
          <w:sz w:val="20"/>
          <w:szCs w:val="20"/>
        </w:rPr>
        <w:t>1160</w:t>
      </w:r>
      <w:r>
        <w:rPr>
          <w:rFonts w:hint="eastAsia" w:ascii="宋体" w:hAnsi="宋体" w:cs="宋体"/>
          <w:sz w:val="20"/>
          <w:szCs w:val="20"/>
        </w:rPr>
        <w:t>）</w:t>
      </w:r>
      <w:r>
        <w:rPr>
          <w:rFonts w:hint="eastAsia" w:ascii="宋体" w:hAnsi="宋体" w:cs="宋体"/>
          <w:color w:val="000000"/>
          <w:sz w:val="20"/>
          <w:szCs w:val="20"/>
          <w:shd w:val="clear" w:color="auto" w:fill="FFFFFF"/>
          <w:lang w:val="en-GB"/>
        </w:rPr>
        <w:t>中的</w:t>
      </w:r>
      <w:r>
        <w:rPr>
          <w:rFonts w:hint="eastAsia" w:ascii="Verdana" w:hAnsi="Verdana" w:eastAsia="Calibri"/>
          <w:color w:val="000000"/>
          <w:sz w:val="20"/>
          <w:szCs w:val="20"/>
          <w:shd w:val="clear" w:color="auto" w:fill="FFFFFF"/>
          <w:lang w:val="en-GB"/>
        </w:rPr>
        <w:t>GBON</w:t>
      </w:r>
      <w:r>
        <w:rPr>
          <w:rFonts w:hint="eastAsia" w:ascii="宋体" w:hAnsi="宋体" w:cs="微软雅黑"/>
          <w:color w:val="000000"/>
          <w:sz w:val="20"/>
          <w:szCs w:val="20"/>
          <w:shd w:val="clear" w:color="auto" w:fill="FFFFFF"/>
          <w:lang w:val="en-GB"/>
        </w:rPr>
        <w:t>规则</w:t>
      </w:r>
      <w:r>
        <w:rPr>
          <w:rFonts w:hint="eastAsia" w:ascii="宋体" w:hAnsi="宋体" w:cs="宋体"/>
          <w:color w:val="000000"/>
          <w:sz w:val="20"/>
          <w:szCs w:val="20"/>
          <w:shd w:val="clear" w:color="auto" w:fill="FFFFFF"/>
          <w:lang w:val="en-GB"/>
        </w:rPr>
        <w:t>；</w:t>
      </w:r>
    </w:p>
    <w:p>
      <w:pPr>
        <w:pStyle w:val="318"/>
        <w:numPr>
          <w:ilvl w:val="0"/>
          <w:numId w:val="10"/>
        </w:numPr>
        <w:spacing w:after="240" w:line="240" w:lineRule="exact"/>
        <w:ind w:left="567" w:hanging="567"/>
        <w:rPr>
          <w:rFonts w:ascii="宋体" w:hAnsi="宋体" w:cs="宋体"/>
          <w:color w:val="000000"/>
          <w:sz w:val="20"/>
          <w:szCs w:val="20"/>
          <w:shd w:val="clear" w:color="auto" w:fill="FFFFFF"/>
          <w:lang w:val="en-GB" w:eastAsia="zh-CN"/>
        </w:rPr>
      </w:pPr>
      <w:r>
        <w:rPr>
          <w:rFonts w:hint="eastAsia" w:ascii="Verdana" w:hAnsi="Verdana" w:eastAsia="Calibri"/>
          <w:color w:val="000000"/>
          <w:sz w:val="20"/>
          <w:szCs w:val="20"/>
          <w:shd w:val="clear" w:color="auto" w:fill="FFFFFF"/>
          <w:lang w:val="en-GB" w:eastAsia="zh-CN"/>
        </w:rPr>
        <w:t>GBON</w:t>
      </w:r>
      <w:r>
        <w:rPr>
          <w:rFonts w:hint="eastAsia" w:ascii="宋体" w:hAnsi="宋体" w:cs="宋体"/>
          <w:color w:val="000000"/>
          <w:sz w:val="20"/>
          <w:szCs w:val="20"/>
          <w:shd w:val="clear" w:color="auto" w:fill="FFFFFF"/>
          <w:lang w:val="en-GB" w:eastAsia="zh-CN"/>
        </w:rPr>
        <w:t>目标：根据</w:t>
      </w:r>
      <w:r>
        <w:rPr>
          <w:rFonts w:hint="eastAsia" w:ascii="Verdana" w:hAnsi="Verdana" w:eastAsia="Calibri"/>
          <w:color w:val="000000"/>
          <w:sz w:val="20"/>
          <w:szCs w:val="20"/>
          <w:shd w:val="clear" w:color="auto" w:fill="FFFFFF"/>
          <w:lang w:val="en-GB" w:eastAsia="zh-CN"/>
        </w:rPr>
        <w:t>WMO</w:t>
      </w:r>
      <w:r>
        <w:rPr>
          <w:rFonts w:hint="eastAsia" w:ascii="宋体" w:hAnsi="宋体" w:cs="宋体"/>
          <w:color w:val="000000"/>
          <w:sz w:val="20"/>
          <w:szCs w:val="20"/>
          <w:shd w:val="clear" w:color="auto" w:fill="FFFFFF"/>
          <w:lang w:val="en-GB" w:eastAsia="zh-CN"/>
        </w:rPr>
        <w:t>秘书处完成的</w:t>
      </w:r>
      <w:r>
        <w:rPr>
          <w:rFonts w:hint="eastAsia" w:ascii="Verdana" w:hAnsi="Verdana" w:eastAsia="Calibri"/>
          <w:color w:val="000000"/>
          <w:sz w:val="20"/>
          <w:szCs w:val="20"/>
          <w:shd w:val="clear" w:color="auto" w:fill="FFFFFF"/>
          <w:lang w:val="en-GB" w:eastAsia="zh-CN"/>
        </w:rPr>
        <w:t>GBON</w:t>
      </w:r>
      <w:r>
        <w:rPr>
          <w:rFonts w:hint="eastAsia" w:ascii="宋体" w:hAnsi="宋体" w:cs="宋体"/>
          <w:color w:val="000000"/>
          <w:sz w:val="20"/>
          <w:szCs w:val="20"/>
          <w:shd w:val="clear" w:color="auto" w:fill="FFFFFF"/>
          <w:lang w:val="en-GB" w:eastAsia="zh-CN"/>
        </w:rPr>
        <w:t>全球差距分析（必要时由会员进行调整），确定所需的地面和高空台站数量；</w:t>
      </w:r>
    </w:p>
    <w:p>
      <w:pPr>
        <w:pStyle w:val="318"/>
        <w:numPr>
          <w:ilvl w:val="0"/>
          <w:numId w:val="10"/>
        </w:numPr>
        <w:spacing w:after="240" w:line="240" w:lineRule="exact"/>
        <w:ind w:left="567" w:hanging="567"/>
        <w:rPr>
          <w:rFonts w:ascii="Verdana" w:hAnsi="Verdana" w:eastAsia="Calibri"/>
          <w:color w:val="000000"/>
          <w:sz w:val="20"/>
          <w:szCs w:val="20"/>
          <w:shd w:val="clear" w:color="auto" w:fill="FFFFFF"/>
          <w:lang w:val="en-GB" w:eastAsia="zh-CN"/>
        </w:rPr>
      </w:pPr>
      <w:r>
        <w:rPr>
          <w:rFonts w:hint="eastAsia" w:ascii="宋体" w:hAnsi="宋体" w:cs="宋体"/>
          <w:color w:val="000000"/>
          <w:sz w:val="20"/>
          <w:szCs w:val="20"/>
          <w:shd w:val="clear" w:color="auto" w:fill="FFFFFF"/>
          <w:lang w:val="en-GB" w:eastAsia="zh-CN"/>
        </w:rPr>
        <w:t>报告：向</w:t>
      </w:r>
      <w:r>
        <w:rPr>
          <w:rFonts w:hint="eastAsia" w:ascii="Verdana" w:hAnsi="Verdana" w:eastAsia="Calibri"/>
          <w:color w:val="000000"/>
          <w:sz w:val="20"/>
          <w:szCs w:val="20"/>
          <w:shd w:val="clear" w:color="auto" w:fill="FFFFFF"/>
          <w:lang w:val="en-GB" w:eastAsia="zh-CN"/>
        </w:rPr>
        <w:t>WIS</w:t>
      </w:r>
      <w:r>
        <w:rPr>
          <w:rFonts w:hint="eastAsia" w:ascii="宋体" w:hAnsi="宋体" w:cs="微软雅黑"/>
          <w:color w:val="000000"/>
          <w:sz w:val="20"/>
          <w:szCs w:val="20"/>
          <w:shd w:val="clear" w:color="auto" w:fill="FFFFFF"/>
          <w:lang w:val="en-GB" w:eastAsia="zh-CN"/>
        </w:rPr>
        <w:t>国际</w:t>
      </w:r>
      <w:r>
        <w:rPr>
          <w:rFonts w:hint="eastAsia" w:ascii="宋体" w:hAnsi="宋体" w:cs="宋体"/>
          <w:color w:val="000000"/>
          <w:sz w:val="20"/>
          <w:szCs w:val="20"/>
          <w:shd w:val="clear" w:color="auto" w:fill="FFFFFF"/>
          <w:lang w:val="en-GB" w:eastAsia="zh-CN"/>
        </w:rPr>
        <w:t>报告的地面、高空和海洋台站的数量；</w:t>
      </w:r>
    </w:p>
    <w:p>
      <w:pPr>
        <w:pStyle w:val="318"/>
        <w:numPr>
          <w:ilvl w:val="0"/>
          <w:numId w:val="10"/>
        </w:numPr>
        <w:spacing w:after="240" w:line="240" w:lineRule="exact"/>
        <w:ind w:left="567" w:hanging="567"/>
        <w:rPr>
          <w:rFonts w:ascii="宋体" w:hAnsi="宋体" w:cs="宋体"/>
          <w:color w:val="000000"/>
          <w:sz w:val="20"/>
          <w:szCs w:val="20"/>
          <w:shd w:val="clear" w:color="auto" w:fill="FFFFFF"/>
          <w:lang w:val="en-GB" w:eastAsia="zh-CN"/>
        </w:rPr>
      </w:pPr>
      <w:r>
        <w:rPr>
          <w:rFonts w:hint="eastAsia" w:ascii="宋体" w:hAnsi="宋体" w:cs="宋体"/>
          <w:color w:val="000000"/>
          <w:sz w:val="20"/>
          <w:szCs w:val="20"/>
          <w:shd w:val="clear" w:color="auto" w:fill="FFFFFF"/>
          <w:lang w:val="en-GB" w:eastAsia="zh-CN"/>
        </w:rPr>
        <w:t>可缩小的差距：可通过改进来满足</w:t>
      </w:r>
      <w:r>
        <w:rPr>
          <w:rFonts w:ascii="Verdana" w:hAnsi="Verdana" w:eastAsia="Calibri"/>
          <w:color w:val="000000"/>
          <w:sz w:val="20"/>
          <w:szCs w:val="20"/>
          <w:shd w:val="clear" w:color="auto" w:fill="FFFFFF"/>
          <w:lang w:val="en-GB" w:eastAsia="zh-CN"/>
        </w:rPr>
        <w:t>GBON</w:t>
      </w:r>
      <w:r>
        <w:rPr>
          <w:rFonts w:hint="eastAsia" w:ascii="宋体" w:hAnsi="宋体" w:cs="宋体"/>
          <w:color w:val="000000"/>
          <w:sz w:val="20"/>
          <w:szCs w:val="20"/>
          <w:shd w:val="clear" w:color="auto" w:fill="FFFFFF"/>
          <w:lang w:val="en-GB" w:eastAsia="zh-CN"/>
        </w:rPr>
        <w:t>要求的地面、高空和海洋台站的数量，例如通过增加共享观测数据量（根据全球差距分析的默认值）；</w:t>
      </w:r>
    </w:p>
    <w:p>
      <w:pPr>
        <w:pStyle w:val="318"/>
        <w:numPr>
          <w:ilvl w:val="0"/>
          <w:numId w:val="10"/>
        </w:numPr>
        <w:spacing w:after="240" w:line="240" w:lineRule="exact"/>
        <w:ind w:left="567" w:hanging="567"/>
        <w:rPr>
          <w:rFonts w:ascii="Verdana" w:hAnsi="Verdana" w:eastAsia="Calibri"/>
          <w:color w:val="000000"/>
          <w:sz w:val="20"/>
          <w:szCs w:val="20"/>
          <w:shd w:val="clear" w:color="auto" w:fill="FFFFFF"/>
          <w:lang w:val="en-GB" w:eastAsia="zh-CN"/>
        </w:rPr>
      </w:pPr>
      <w:bookmarkStart w:id="25" w:name="OLE_LINK4"/>
      <w:r>
        <w:rPr>
          <w:rFonts w:hint="eastAsia" w:ascii="宋体" w:hAnsi="宋体" w:cs="宋体"/>
          <w:color w:val="000000"/>
          <w:sz w:val="20"/>
          <w:szCs w:val="20"/>
          <w:shd w:val="clear" w:color="auto" w:fill="FFFFFF"/>
          <w:lang w:val="en-GB" w:eastAsia="zh-CN"/>
        </w:rPr>
        <w:t>新的差距</w:t>
      </w:r>
      <w:bookmarkEnd w:id="25"/>
      <w:r>
        <w:rPr>
          <w:rFonts w:hint="eastAsia" w:ascii="宋体" w:hAnsi="宋体" w:cs="宋体"/>
          <w:color w:val="000000"/>
          <w:sz w:val="20"/>
          <w:szCs w:val="20"/>
          <w:shd w:val="clear" w:color="auto" w:fill="FFFFFF"/>
          <w:lang w:val="en-GB" w:eastAsia="zh-CN"/>
        </w:rPr>
        <w:t>：需要建立和安装的新的地面、高空和海洋台站的数量（根据全球差距分析的默认值）；</w:t>
      </w:r>
    </w:p>
    <w:p>
      <w:pPr>
        <w:pStyle w:val="318"/>
        <w:numPr>
          <w:ilvl w:val="0"/>
          <w:numId w:val="10"/>
        </w:numPr>
        <w:spacing w:after="240" w:line="240" w:lineRule="exact"/>
        <w:ind w:left="567" w:hanging="567"/>
        <w:rPr>
          <w:rFonts w:ascii="Verdana" w:hAnsi="Verdana" w:eastAsia="Calibri"/>
          <w:color w:val="000000"/>
          <w:sz w:val="20"/>
          <w:szCs w:val="20"/>
          <w:shd w:val="clear" w:color="auto" w:fill="FFFFFF"/>
          <w:lang w:val="en-GB" w:eastAsia="zh-CN"/>
        </w:rPr>
      </w:pPr>
      <w:r>
        <w:rPr>
          <w:rFonts w:hint="eastAsia" w:ascii="宋体" w:hAnsi="宋体" w:cs="宋体"/>
          <w:color w:val="000000"/>
          <w:sz w:val="20"/>
          <w:szCs w:val="20"/>
          <w:shd w:val="clear" w:color="auto" w:fill="FFFFFF"/>
          <w:lang w:val="en-GB" w:eastAsia="zh-CN"/>
        </w:rPr>
        <w:t>总的差距：需要改进或新安装的台站总数（根据全球差距分析的默认值）。</w:t>
      </w:r>
    </w:p>
    <w:p>
      <w:pPr>
        <w:keepNext/>
        <w:keepLines/>
        <w:spacing w:after="240" w:line="240" w:lineRule="exact"/>
        <w:jc w:val="center"/>
        <w:rPr>
          <w:rFonts w:ascii="微软雅黑" w:hAnsi="微软雅黑" w:eastAsia="微软雅黑" w:cs="微软雅黑"/>
          <w:b/>
          <w:bCs/>
        </w:rPr>
      </w:pPr>
      <w:r>
        <w:rPr>
          <w:rFonts w:hint="eastAsia" w:ascii="微软雅黑" w:hAnsi="微软雅黑" w:eastAsia="微软雅黑" w:cs="微软雅黑"/>
          <w:b/>
          <w:bCs/>
          <w:lang w:val="en-US" w:eastAsia="zh-CN"/>
        </w:rPr>
        <w:t>表</w:t>
      </w:r>
      <w:r>
        <w:rPr>
          <w:b/>
          <w:bCs/>
        </w:rPr>
        <w:t>5.2. GBON</w:t>
      </w:r>
      <w:r>
        <w:rPr>
          <w:rFonts w:hint="eastAsia" w:ascii="微软雅黑" w:hAnsi="微软雅黑" w:eastAsia="微软雅黑" w:cs="微软雅黑"/>
          <w:b/>
          <w:bCs/>
        </w:rPr>
        <w:t>水平分辨率要求</w:t>
      </w:r>
    </w:p>
    <w:tbl>
      <w:tblPr>
        <w:tblStyle w:val="368"/>
        <w:tblW w:w="5000" w:type="pct"/>
        <w:jc w:val="center"/>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Layout w:type="autofit"/>
        <w:tblCellMar>
          <w:top w:w="0" w:type="dxa"/>
          <w:left w:w="108" w:type="dxa"/>
          <w:bottom w:w="0" w:type="dxa"/>
          <w:right w:w="108" w:type="dxa"/>
        </w:tblCellMar>
      </w:tblPr>
      <w:tblGrid>
        <w:gridCol w:w="1899"/>
        <w:gridCol w:w="1654"/>
        <w:gridCol w:w="1644"/>
        <w:gridCol w:w="1644"/>
        <w:gridCol w:w="1508"/>
        <w:gridCol w:w="1506"/>
      </w:tblGrid>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916" w:hRule="atLeast"/>
          <w:jc w:val="center"/>
        </w:trPr>
        <w:tc>
          <w:tcPr>
            <w:tcW w:w="964" w:type="pct"/>
            <w:shd w:val="clear" w:color="auto" w:fill="auto"/>
            <w:vAlign w:val="center"/>
          </w:tcPr>
          <w:p>
            <w:pPr>
              <w:keepNext/>
              <w:keepLines/>
              <w:spacing w:before="60" w:after="60"/>
              <w:rPr>
                <w:sz w:val="20"/>
                <w:szCs w:val="20"/>
                <w:lang w:eastAsia="en-US"/>
              </w:rPr>
            </w:pPr>
            <w:r>
              <w:rPr>
                <w:rFonts w:hint="eastAsia"/>
                <w:sz w:val="20"/>
                <w:szCs w:val="20"/>
                <w:lang w:eastAsia="en-US"/>
              </w:rPr>
              <w:t>GBON</w:t>
            </w:r>
            <w:r>
              <w:rPr>
                <w:rFonts w:hint="eastAsia" w:ascii="宋体" w:hAnsi="宋体" w:eastAsia="宋体" w:cs="宋体"/>
                <w:sz w:val="20"/>
                <w:szCs w:val="20"/>
                <w:lang w:eastAsia="en-US"/>
              </w:rPr>
              <w:t>水平分辨率要求</w:t>
            </w:r>
          </w:p>
        </w:tc>
        <w:tc>
          <w:tcPr>
            <w:tcW w:w="839" w:type="pct"/>
            <w:shd w:val="clear" w:color="auto" w:fill="auto"/>
            <w:vAlign w:val="center"/>
          </w:tcPr>
          <w:p>
            <w:pPr>
              <w:keepNext/>
              <w:keepLines/>
              <w:spacing w:before="60" w:after="60"/>
              <w:jc w:val="center"/>
              <w:rPr>
                <w:rFonts w:ascii="宋体" w:hAnsi="宋体" w:eastAsia="宋体" w:cs="宋体"/>
                <w:b/>
                <w:smallCaps/>
                <w:sz w:val="20"/>
                <w:szCs w:val="20"/>
                <w:lang w:eastAsia="en-US"/>
              </w:rPr>
            </w:pPr>
            <w:r>
              <w:rPr>
                <w:rFonts w:hint="eastAsia"/>
                <w:sz w:val="20"/>
                <w:szCs w:val="20"/>
                <w:lang w:eastAsia="en-US"/>
              </w:rPr>
              <w:t>GBON</w:t>
            </w:r>
            <w:r>
              <w:rPr>
                <w:rFonts w:hint="eastAsia" w:ascii="宋体" w:hAnsi="宋体" w:eastAsia="宋体" w:cs="宋体"/>
                <w:smallCaps/>
                <w:sz w:val="20"/>
                <w:szCs w:val="20"/>
                <w:lang w:eastAsia="en-US"/>
              </w:rPr>
              <w:t>目标</w:t>
            </w:r>
          </w:p>
        </w:tc>
        <w:tc>
          <w:tcPr>
            <w:tcW w:w="834" w:type="pct"/>
            <w:shd w:val="clear" w:color="auto" w:fill="auto"/>
            <w:vAlign w:val="center"/>
          </w:tcPr>
          <w:p>
            <w:pPr>
              <w:keepNext/>
              <w:keepLines/>
              <w:spacing w:before="60" w:after="60"/>
              <w:jc w:val="center"/>
              <w:rPr>
                <w:rFonts w:ascii="宋体" w:hAnsi="宋体" w:eastAsia="宋体" w:cs="宋体"/>
                <w:smallCaps/>
                <w:sz w:val="20"/>
                <w:szCs w:val="20"/>
                <w:lang w:eastAsia="en-US"/>
              </w:rPr>
            </w:pPr>
            <w:r>
              <w:rPr>
                <w:rFonts w:hint="eastAsia" w:ascii="宋体" w:hAnsi="宋体" w:eastAsia="宋体" w:cs="宋体"/>
                <w:smallCaps/>
                <w:sz w:val="20"/>
                <w:szCs w:val="20"/>
                <w:lang w:eastAsia="en-US"/>
              </w:rPr>
              <w:t>报告</w:t>
            </w:r>
          </w:p>
        </w:tc>
        <w:tc>
          <w:tcPr>
            <w:tcW w:w="834" w:type="pct"/>
            <w:shd w:val="clear" w:color="auto" w:fill="auto"/>
            <w:vAlign w:val="center"/>
          </w:tcPr>
          <w:p>
            <w:pPr>
              <w:keepNext/>
              <w:keepLines/>
              <w:spacing w:before="60" w:after="60"/>
              <w:jc w:val="center"/>
              <w:rPr>
                <w:rFonts w:ascii="宋体" w:hAnsi="宋体" w:eastAsia="宋体" w:cs="宋体"/>
                <w:smallCaps/>
                <w:sz w:val="20"/>
                <w:szCs w:val="20"/>
                <w:lang w:eastAsia="en-US"/>
              </w:rPr>
            </w:pPr>
            <w:r>
              <w:rPr>
                <w:rFonts w:hint="eastAsia" w:ascii="宋体" w:hAnsi="宋体" w:eastAsia="宋体" w:cs="宋体"/>
                <w:smallCaps/>
                <w:sz w:val="20"/>
                <w:szCs w:val="20"/>
                <w:lang w:eastAsia="zh-CN"/>
              </w:rPr>
              <w:t>可</w:t>
            </w:r>
            <w:r>
              <w:rPr>
                <w:rFonts w:hint="eastAsia" w:ascii="宋体" w:hAnsi="宋体" w:eastAsia="宋体" w:cs="宋体"/>
                <w:smallCaps/>
                <w:sz w:val="20"/>
                <w:szCs w:val="20"/>
                <w:lang w:eastAsia="en-US"/>
              </w:rPr>
              <w:t>缩小</w:t>
            </w:r>
            <w:r>
              <w:rPr>
                <w:rFonts w:hint="eastAsia" w:ascii="宋体" w:hAnsi="宋体" w:eastAsia="宋体" w:cs="宋体"/>
                <w:smallCaps/>
                <w:sz w:val="20"/>
                <w:szCs w:val="20"/>
                <w:lang w:eastAsia="zh-CN"/>
              </w:rPr>
              <w:t>的</w:t>
            </w:r>
            <w:r>
              <w:rPr>
                <w:rFonts w:hint="eastAsia" w:ascii="宋体" w:hAnsi="宋体" w:eastAsia="宋体" w:cs="宋体"/>
                <w:smallCaps/>
                <w:sz w:val="20"/>
                <w:szCs w:val="20"/>
                <w:lang w:eastAsia="en-US"/>
              </w:rPr>
              <w:t>差距</w:t>
            </w:r>
          </w:p>
        </w:tc>
        <w:tc>
          <w:tcPr>
            <w:tcW w:w="765" w:type="pct"/>
            <w:shd w:val="clear" w:color="auto" w:fill="auto"/>
            <w:vAlign w:val="center"/>
          </w:tcPr>
          <w:p>
            <w:pPr>
              <w:keepNext/>
              <w:keepLines/>
              <w:spacing w:before="60" w:after="60"/>
              <w:jc w:val="center"/>
              <w:rPr>
                <w:rFonts w:ascii="宋体" w:hAnsi="宋体" w:eastAsia="宋体" w:cs="宋体"/>
                <w:smallCaps/>
                <w:sz w:val="20"/>
                <w:szCs w:val="20"/>
                <w:lang w:eastAsia="en-US"/>
              </w:rPr>
            </w:pPr>
            <w:r>
              <w:rPr>
                <w:rFonts w:hint="eastAsia" w:ascii="宋体" w:hAnsi="宋体" w:eastAsia="宋体" w:cs="宋体"/>
                <w:smallCaps/>
                <w:sz w:val="20"/>
                <w:szCs w:val="20"/>
                <w:lang w:eastAsia="en-US"/>
              </w:rPr>
              <w:t>新的差距</w:t>
            </w:r>
          </w:p>
        </w:tc>
        <w:tc>
          <w:tcPr>
            <w:tcW w:w="764" w:type="pct"/>
            <w:shd w:val="clear" w:color="auto" w:fill="auto"/>
            <w:vAlign w:val="center"/>
          </w:tcPr>
          <w:p>
            <w:pPr>
              <w:keepNext/>
              <w:keepLines/>
              <w:spacing w:before="60" w:after="60"/>
              <w:jc w:val="center"/>
              <w:rPr>
                <w:rFonts w:ascii="宋体" w:hAnsi="宋体" w:eastAsia="宋体" w:cs="宋体"/>
                <w:smallCaps/>
                <w:sz w:val="20"/>
                <w:szCs w:val="20"/>
                <w:lang w:eastAsia="en-US"/>
              </w:rPr>
            </w:pPr>
            <w:r>
              <w:rPr>
                <w:rFonts w:hint="eastAsia" w:ascii="宋体" w:hAnsi="宋体" w:eastAsia="宋体" w:cs="宋体"/>
                <w:smallCaps/>
                <w:sz w:val="20"/>
                <w:szCs w:val="20"/>
                <w:lang w:eastAsia="en-US"/>
              </w:rPr>
              <w:t>总的差距</w:t>
            </w:r>
          </w:p>
        </w:tc>
      </w:tr>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328" w:hRule="atLeast"/>
          <w:jc w:val="center"/>
        </w:trPr>
        <w:tc>
          <w:tcPr>
            <w:tcW w:w="964" w:type="pct"/>
            <w:shd w:val="clear" w:color="auto" w:fill="auto"/>
            <w:vAlign w:val="center"/>
          </w:tcPr>
          <w:p>
            <w:pPr>
              <w:keepNext/>
              <w:keepLines/>
              <w:spacing w:before="60" w:after="60"/>
              <w:rPr>
                <w:rFonts w:eastAsia="Calibri"/>
                <w:smallCaps/>
                <w:sz w:val="20"/>
                <w:szCs w:val="20"/>
                <w:lang w:eastAsia="en-US"/>
              </w:rPr>
            </w:pPr>
            <w:r>
              <w:rPr>
                <w:rFonts w:hint="eastAsia" w:ascii="宋体" w:hAnsi="宋体" w:eastAsia="宋体" w:cs="宋体"/>
                <w:smallCaps/>
                <w:sz w:val="20"/>
                <w:szCs w:val="20"/>
                <w:lang w:eastAsia="en-US"/>
              </w:rPr>
              <w:t>地面站，标准密度，</w:t>
            </w:r>
            <w:r>
              <w:rPr>
                <w:rFonts w:hint="eastAsia" w:eastAsia="Calibri"/>
                <w:smallCaps/>
                <w:sz w:val="20"/>
                <w:szCs w:val="20"/>
                <w:lang w:eastAsia="en-US"/>
              </w:rPr>
              <w:t xml:space="preserve">200 </w:t>
            </w:r>
            <w:r>
              <w:rPr>
                <w:sz w:val="20"/>
                <w:szCs w:val="20"/>
                <w:lang w:eastAsia="en-US"/>
              </w:rPr>
              <w:t>km</w:t>
            </w:r>
          </w:p>
        </w:tc>
        <w:tc>
          <w:tcPr>
            <w:tcW w:w="839" w:type="pct"/>
            <w:shd w:val="clear" w:color="auto" w:fill="auto"/>
            <w:vAlign w:val="center"/>
          </w:tcPr>
          <w:p>
            <w:pPr>
              <w:keepNext/>
              <w:keepLines/>
              <w:spacing w:before="60" w:after="60"/>
              <w:rPr>
                <w:rFonts w:eastAsia="Verdana" w:cs="Segoe UI"/>
                <w:sz w:val="20"/>
                <w:szCs w:val="20"/>
                <w:lang w:eastAsia="en-US"/>
              </w:rPr>
            </w:pPr>
          </w:p>
        </w:tc>
        <w:tc>
          <w:tcPr>
            <w:tcW w:w="834" w:type="pct"/>
            <w:shd w:val="clear" w:color="auto" w:fill="auto"/>
            <w:vAlign w:val="center"/>
          </w:tcPr>
          <w:p>
            <w:pPr>
              <w:keepNext/>
              <w:keepLines/>
              <w:spacing w:before="60" w:after="60"/>
              <w:rPr>
                <w:rFonts w:eastAsia="Verdana" w:cs="Segoe UI"/>
                <w:sz w:val="20"/>
                <w:szCs w:val="20"/>
                <w:lang w:eastAsia="en-US"/>
              </w:rPr>
            </w:pPr>
          </w:p>
        </w:tc>
        <w:tc>
          <w:tcPr>
            <w:tcW w:w="834" w:type="pct"/>
            <w:shd w:val="clear" w:color="auto" w:fill="auto"/>
            <w:vAlign w:val="center"/>
          </w:tcPr>
          <w:p>
            <w:pPr>
              <w:keepNext/>
              <w:keepLines/>
              <w:spacing w:before="60" w:after="60"/>
              <w:rPr>
                <w:rFonts w:eastAsia="Verdana" w:cs="Segoe UI"/>
                <w:sz w:val="20"/>
                <w:szCs w:val="20"/>
                <w:lang w:eastAsia="en-US"/>
              </w:rPr>
            </w:pPr>
          </w:p>
        </w:tc>
        <w:tc>
          <w:tcPr>
            <w:tcW w:w="765" w:type="pct"/>
            <w:shd w:val="clear" w:color="auto" w:fill="auto"/>
            <w:vAlign w:val="center"/>
          </w:tcPr>
          <w:p>
            <w:pPr>
              <w:keepNext/>
              <w:keepLines/>
              <w:spacing w:before="60" w:after="60"/>
              <w:rPr>
                <w:rFonts w:eastAsia="Verdana" w:cs="Segoe UI"/>
                <w:sz w:val="20"/>
                <w:szCs w:val="20"/>
                <w:lang w:eastAsia="en-US"/>
              </w:rPr>
            </w:pPr>
          </w:p>
        </w:tc>
        <w:tc>
          <w:tcPr>
            <w:tcW w:w="764" w:type="pct"/>
            <w:shd w:val="clear" w:color="auto" w:fill="auto"/>
            <w:vAlign w:val="center"/>
          </w:tcPr>
          <w:p>
            <w:pPr>
              <w:keepNext/>
              <w:keepLines/>
              <w:spacing w:before="60" w:after="60"/>
              <w:rPr>
                <w:rFonts w:eastAsia="Verdana" w:cs="Segoe UI"/>
                <w:sz w:val="20"/>
                <w:szCs w:val="20"/>
                <w:lang w:eastAsia="en-US"/>
              </w:rPr>
            </w:pPr>
          </w:p>
        </w:tc>
      </w:tr>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328" w:hRule="atLeast"/>
          <w:jc w:val="center"/>
        </w:trPr>
        <w:tc>
          <w:tcPr>
            <w:tcW w:w="964" w:type="pct"/>
            <w:shd w:val="clear" w:color="auto" w:fill="auto"/>
            <w:vAlign w:val="center"/>
          </w:tcPr>
          <w:p>
            <w:pPr>
              <w:keepNext/>
              <w:keepLines/>
              <w:spacing w:before="60" w:after="60"/>
              <w:rPr>
                <w:rFonts w:eastAsia="Calibri"/>
                <w:smallCaps/>
                <w:sz w:val="20"/>
                <w:szCs w:val="20"/>
                <w:lang w:eastAsia="en-US"/>
              </w:rPr>
            </w:pPr>
            <w:r>
              <w:rPr>
                <w:rFonts w:hint="eastAsia" w:ascii="宋体" w:hAnsi="宋体" w:eastAsia="宋体" w:cs="宋体"/>
                <w:smallCaps/>
                <w:sz w:val="20"/>
                <w:szCs w:val="20"/>
                <w:lang w:eastAsia="en-US"/>
              </w:rPr>
              <w:t>地面站，高密度</w:t>
            </w:r>
            <w:r>
              <w:rPr>
                <w:rFonts w:hint="eastAsia" w:ascii="宋体" w:hAnsi="宋体" w:eastAsia="宋体" w:cs="宋体"/>
                <w:smallCaps/>
                <w:sz w:val="20"/>
                <w:szCs w:val="20"/>
                <w:lang w:eastAsia="zh-CN"/>
              </w:rPr>
              <w:t>，</w:t>
            </w:r>
            <w:r>
              <w:rPr>
                <w:rFonts w:eastAsia="Calibri"/>
                <w:smallCaps/>
                <w:sz w:val="20"/>
                <w:szCs w:val="20"/>
                <w:lang w:eastAsia="en-US"/>
              </w:rPr>
              <w:t>100 </w:t>
            </w:r>
            <w:r>
              <w:rPr>
                <w:sz w:val="20"/>
                <w:szCs w:val="20"/>
                <w:lang w:eastAsia="en-US"/>
              </w:rPr>
              <w:t>km</w:t>
            </w:r>
          </w:p>
        </w:tc>
        <w:tc>
          <w:tcPr>
            <w:tcW w:w="839" w:type="pct"/>
            <w:shd w:val="clear" w:color="auto" w:fill="auto"/>
            <w:vAlign w:val="center"/>
          </w:tcPr>
          <w:p>
            <w:pPr>
              <w:keepNext/>
              <w:keepLines/>
              <w:spacing w:before="60" w:after="60"/>
              <w:rPr>
                <w:rFonts w:eastAsia="Verdana" w:cs="Segoe UI"/>
                <w:sz w:val="20"/>
                <w:szCs w:val="20"/>
                <w:lang w:eastAsia="en-US"/>
              </w:rPr>
            </w:pPr>
          </w:p>
        </w:tc>
        <w:tc>
          <w:tcPr>
            <w:tcW w:w="834" w:type="pct"/>
            <w:shd w:val="clear" w:color="auto" w:fill="auto"/>
            <w:vAlign w:val="center"/>
          </w:tcPr>
          <w:p>
            <w:pPr>
              <w:keepNext/>
              <w:keepLines/>
              <w:spacing w:before="60" w:after="60"/>
              <w:rPr>
                <w:rFonts w:eastAsia="Verdana" w:cs="Segoe UI"/>
                <w:sz w:val="20"/>
                <w:szCs w:val="20"/>
                <w:lang w:eastAsia="en-US"/>
              </w:rPr>
            </w:pPr>
          </w:p>
        </w:tc>
        <w:tc>
          <w:tcPr>
            <w:tcW w:w="834" w:type="pct"/>
            <w:shd w:val="clear" w:color="auto" w:fill="auto"/>
            <w:vAlign w:val="center"/>
          </w:tcPr>
          <w:p>
            <w:pPr>
              <w:keepNext/>
              <w:keepLines/>
              <w:spacing w:before="60" w:after="60"/>
              <w:rPr>
                <w:rFonts w:eastAsia="Verdana" w:cs="Segoe UI"/>
                <w:sz w:val="20"/>
                <w:szCs w:val="20"/>
                <w:lang w:eastAsia="en-US"/>
              </w:rPr>
            </w:pPr>
          </w:p>
        </w:tc>
        <w:tc>
          <w:tcPr>
            <w:tcW w:w="765" w:type="pct"/>
            <w:shd w:val="clear" w:color="auto" w:fill="auto"/>
            <w:vAlign w:val="center"/>
          </w:tcPr>
          <w:p>
            <w:pPr>
              <w:keepNext/>
              <w:keepLines/>
              <w:spacing w:before="60" w:after="60"/>
              <w:rPr>
                <w:rFonts w:eastAsia="Verdana" w:cs="Segoe UI"/>
                <w:sz w:val="20"/>
                <w:szCs w:val="20"/>
                <w:lang w:eastAsia="en-US"/>
              </w:rPr>
            </w:pPr>
          </w:p>
        </w:tc>
        <w:tc>
          <w:tcPr>
            <w:tcW w:w="764" w:type="pct"/>
            <w:shd w:val="clear" w:color="auto" w:fill="auto"/>
            <w:vAlign w:val="center"/>
          </w:tcPr>
          <w:p>
            <w:pPr>
              <w:keepNext/>
              <w:keepLines/>
              <w:spacing w:before="60" w:after="60"/>
              <w:rPr>
                <w:rFonts w:eastAsia="Verdana" w:cs="Segoe UI"/>
                <w:sz w:val="20"/>
                <w:szCs w:val="20"/>
                <w:lang w:eastAsia="en-US"/>
              </w:rPr>
            </w:pPr>
          </w:p>
        </w:tc>
      </w:tr>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994" w:hRule="atLeast"/>
          <w:jc w:val="center"/>
        </w:trPr>
        <w:tc>
          <w:tcPr>
            <w:tcW w:w="964" w:type="pct"/>
            <w:shd w:val="clear" w:color="auto" w:fill="auto"/>
            <w:vAlign w:val="center"/>
          </w:tcPr>
          <w:p>
            <w:pPr>
              <w:keepNext/>
              <w:keepLines/>
              <w:spacing w:before="60" w:after="60"/>
              <w:rPr>
                <w:rFonts w:eastAsia="Calibri"/>
                <w:smallCaps/>
                <w:sz w:val="20"/>
                <w:szCs w:val="20"/>
                <w:lang w:eastAsia="zh-CN"/>
              </w:rPr>
            </w:pPr>
            <w:r>
              <w:rPr>
                <w:rFonts w:hint="eastAsia" w:ascii="宋体" w:hAnsi="宋体" w:eastAsia="宋体" w:cs="宋体"/>
                <w:smallCaps/>
                <w:sz w:val="20"/>
                <w:szCs w:val="20"/>
                <w:lang w:eastAsia="zh-CN"/>
              </w:rPr>
              <w:t xml:space="preserve">高空陆地站，标准密度 </w:t>
            </w:r>
            <w:r>
              <w:rPr>
                <w:rFonts w:eastAsia="Calibri"/>
                <w:smallCaps/>
                <w:sz w:val="20"/>
                <w:szCs w:val="20"/>
                <w:lang w:eastAsia="zh-CN"/>
              </w:rPr>
              <w:t>500 </w:t>
            </w:r>
            <w:r>
              <w:rPr>
                <w:sz w:val="20"/>
                <w:szCs w:val="20"/>
                <w:lang w:eastAsia="zh-CN"/>
              </w:rPr>
              <w:t>km</w:t>
            </w:r>
          </w:p>
        </w:tc>
        <w:tc>
          <w:tcPr>
            <w:tcW w:w="839" w:type="pct"/>
            <w:shd w:val="clear" w:color="auto" w:fill="auto"/>
            <w:vAlign w:val="center"/>
          </w:tcPr>
          <w:p>
            <w:pPr>
              <w:keepNext/>
              <w:keepLines/>
              <w:spacing w:before="60" w:after="60"/>
              <w:rPr>
                <w:rFonts w:eastAsia="Verdana" w:cs="Segoe UI"/>
                <w:sz w:val="20"/>
                <w:szCs w:val="20"/>
                <w:lang w:eastAsia="zh-CN"/>
              </w:rPr>
            </w:pPr>
          </w:p>
        </w:tc>
        <w:tc>
          <w:tcPr>
            <w:tcW w:w="834" w:type="pct"/>
            <w:shd w:val="clear" w:color="auto" w:fill="auto"/>
            <w:vAlign w:val="center"/>
          </w:tcPr>
          <w:p>
            <w:pPr>
              <w:keepNext/>
              <w:keepLines/>
              <w:spacing w:before="60" w:after="60"/>
              <w:rPr>
                <w:rFonts w:eastAsia="Verdana" w:cs="Segoe UI"/>
                <w:sz w:val="20"/>
                <w:szCs w:val="20"/>
                <w:lang w:eastAsia="zh-CN"/>
              </w:rPr>
            </w:pPr>
          </w:p>
        </w:tc>
        <w:tc>
          <w:tcPr>
            <w:tcW w:w="834" w:type="pct"/>
            <w:shd w:val="clear" w:color="auto" w:fill="auto"/>
            <w:vAlign w:val="center"/>
          </w:tcPr>
          <w:p>
            <w:pPr>
              <w:keepNext/>
              <w:keepLines/>
              <w:spacing w:before="60" w:after="60"/>
              <w:rPr>
                <w:rFonts w:eastAsia="Verdana" w:cs="Segoe UI"/>
                <w:sz w:val="20"/>
                <w:szCs w:val="20"/>
                <w:lang w:eastAsia="zh-CN"/>
              </w:rPr>
            </w:pPr>
          </w:p>
        </w:tc>
        <w:tc>
          <w:tcPr>
            <w:tcW w:w="765" w:type="pct"/>
            <w:shd w:val="clear" w:color="auto" w:fill="auto"/>
            <w:vAlign w:val="center"/>
          </w:tcPr>
          <w:p>
            <w:pPr>
              <w:keepNext/>
              <w:keepLines/>
              <w:spacing w:before="60" w:after="60"/>
              <w:rPr>
                <w:rFonts w:eastAsia="Verdana" w:cs="Segoe UI"/>
                <w:sz w:val="20"/>
                <w:szCs w:val="20"/>
                <w:lang w:eastAsia="zh-CN"/>
              </w:rPr>
            </w:pPr>
          </w:p>
        </w:tc>
        <w:tc>
          <w:tcPr>
            <w:tcW w:w="764" w:type="pct"/>
            <w:shd w:val="clear" w:color="auto" w:fill="auto"/>
            <w:vAlign w:val="center"/>
          </w:tcPr>
          <w:p>
            <w:pPr>
              <w:keepNext/>
              <w:keepLines/>
              <w:spacing w:before="60" w:after="60"/>
              <w:rPr>
                <w:rFonts w:eastAsia="Verdana" w:cs="Segoe UI"/>
                <w:sz w:val="20"/>
                <w:szCs w:val="20"/>
                <w:lang w:eastAsia="zh-CN"/>
              </w:rPr>
            </w:pPr>
          </w:p>
        </w:tc>
      </w:tr>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994" w:hRule="atLeast"/>
          <w:jc w:val="center"/>
        </w:trPr>
        <w:tc>
          <w:tcPr>
            <w:tcW w:w="964" w:type="pct"/>
            <w:shd w:val="clear" w:color="auto" w:fill="auto"/>
            <w:vAlign w:val="center"/>
          </w:tcPr>
          <w:p>
            <w:pPr>
              <w:keepNext/>
              <w:keepLines/>
              <w:spacing w:before="60" w:after="60"/>
              <w:rPr>
                <w:rFonts w:eastAsia="Calibri"/>
                <w:smallCaps/>
                <w:sz w:val="20"/>
                <w:szCs w:val="20"/>
                <w:lang w:eastAsia="en-US"/>
              </w:rPr>
            </w:pPr>
            <w:r>
              <w:rPr>
                <w:rFonts w:hint="eastAsia" w:ascii="宋体" w:hAnsi="宋体" w:eastAsia="宋体" w:cs="宋体"/>
                <w:smallCaps/>
                <w:color w:val="auto"/>
                <w:sz w:val="20"/>
                <w:szCs w:val="20"/>
                <w:lang w:eastAsia="en-US"/>
              </w:rPr>
              <w:t>高空陆地站，高密度</w:t>
            </w:r>
            <w:r>
              <w:rPr>
                <w:rFonts w:hint="eastAsia" w:ascii="宋体" w:hAnsi="宋体" w:eastAsia="宋体" w:cs="宋体"/>
                <w:smallCaps/>
                <w:color w:val="auto"/>
                <w:sz w:val="20"/>
                <w:szCs w:val="20"/>
                <w:lang w:eastAsia="zh-CN"/>
              </w:rPr>
              <w:t xml:space="preserve"> </w:t>
            </w:r>
            <w:r>
              <w:rPr>
                <w:rFonts w:eastAsia="Calibri"/>
                <w:smallCaps/>
                <w:color w:val="auto"/>
                <w:sz w:val="20"/>
                <w:szCs w:val="20"/>
                <w:lang w:eastAsia="en-US"/>
              </w:rPr>
              <w:t>200</w:t>
            </w:r>
            <w:r>
              <w:rPr>
                <w:rFonts w:eastAsia="Calibri"/>
                <w:smallCaps/>
                <w:sz w:val="20"/>
                <w:szCs w:val="20"/>
                <w:lang w:eastAsia="en-US"/>
              </w:rPr>
              <w:t> </w:t>
            </w:r>
            <w:r>
              <w:rPr>
                <w:sz w:val="20"/>
                <w:szCs w:val="20"/>
                <w:lang w:eastAsia="en-US"/>
              </w:rPr>
              <w:t>km</w:t>
            </w:r>
          </w:p>
        </w:tc>
        <w:tc>
          <w:tcPr>
            <w:tcW w:w="839" w:type="pct"/>
            <w:shd w:val="clear" w:color="auto" w:fill="auto"/>
            <w:vAlign w:val="center"/>
          </w:tcPr>
          <w:p>
            <w:pPr>
              <w:keepNext/>
              <w:keepLines/>
              <w:spacing w:before="60" w:after="60"/>
              <w:rPr>
                <w:rFonts w:eastAsia="Verdana" w:cs="Segoe UI"/>
                <w:sz w:val="20"/>
                <w:szCs w:val="20"/>
                <w:lang w:eastAsia="en-US"/>
              </w:rPr>
            </w:pPr>
          </w:p>
        </w:tc>
        <w:tc>
          <w:tcPr>
            <w:tcW w:w="834" w:type="pct"/>
            <w:shd w:val="clear" w:color="auto" w:fill="auto"/>
            <w:vAlign w:val="center"/>
          </w:tcPr>
          <w:p>
            <w:pPr>
              <w:keepNext/>
              <w:keepLines/>
              <w:spacing w:before="60" w:after="60"/>
              <w:rPr>
                <w:rFonts w:eastAsia="Verdana" w:cs="Segoe UI"/>
                <w:sz w:val="20"/>
                <w:szCs w:val="20"/>
                <w:lang w:eastAsia="en-US"/>
              </w:rPr>
            </w:pPr>
          </w:p>
        </w:tc>
        <w:tc>
          <w:tcPr>
            <w:tcW w:w="834" w:type="pct"/>
            <w:shd w:val="clear" w:color="auto" w:fill="auto"/>
            <w:vAlign w:val="center"/>
          </w:tcPr>
          <w:p>
            <w:pPr>
              <w:keepNext/>
              <w:keepLines/>
              <w:spacing w:before="60" w:after="60"/>
              <w:rPr>
                <w:rFonts w:eastAsia="Verdana" w:cs="Segoe UI"/>
                <w:sz w:val="20"/>
                <w:szCs w:val="20"/>
                <w:lang w:eastAsia="en-US"/>
              </w:rPr>
            </w:pPr>
          </w:p>
        </w:tc>
        <w:tc>
          <w:tcPr>
            <w:tcW w:w="765" w:type="pct"/>
            <w:shd w:val="clear" w:color="auto" w:fill="auto"/>
            <w:vAlign w:val="center"/>
          </w:tcPr>
          <w:p>
            <w:pPr>
              <w:keepNext/>
              <w:keepLines/>
              <w:spacing w:before="60" w:after="60"/>
              <w:rPr>
                <w:rFonts w:eastAsia="Verdana" w:cs="Segoe UI"/>
                <w:sz w:val="20"/>
                <w:szCs w:val="20"/>
                <w:lang w:eastAsia="en-US"/>
              </w:rPr>
            </w:pPr>
          </w:p>
        </w:tc>
        <w:tc>
          <w:tcPr>
            <w:tcW w:w="764" w:type="pct"/>
            <w:shd w:val="clear" w:color="auto" w:fill="auto"/>
            <w:vAlign w:val="center"/>
          </w:tcPr>
          <w:p>
            <w:pPr>
              <w:keepNext/>
              <w:keepLines/>
              <w:spacing w:before="60" w:after="60"/>
              <w:rPr>
                <w:rFonts w:eastAsia="Verdana" w:cs="Segoe UI"/>
                <w:sz w:val="20"/>
                <w:szCs w:val="20"/>
                <w:lang w:eastAsia="en-US"/>
              </w:rPr>
            </w:pPr>
          </w:p>
        </w:tc>
      </w:tr>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994" w:hRule="atLeast"/>
          <w:jc w:val="center"/>
        </w:trPr>
        <w:tc>
          <w:tcPr>
            <w:tcW w:w="964" w:type="pct"/>
            <w:shd w:val="clear" w:color="auto" w:fill="auto"/>
            <w:vAlign w:val="center"/>
          </w:tcPr>
          <w:p>
            <w:pPr>
              <w:keepNext/>
              <w:keepLines/>
              <w:spacing w:before="60" w:after="60"/>
              <w:rPr>
                <w:rFonts w:eastAsia="Calibri"/>
                <w:smallCaps/>
                <w:sz w:val="20"/>
                <w:szCs w:val="20"/>
                <w:lang w:eastAsia="en-US"/>
              </w:rPr>
            </w:pPr>
            <w:r>
              <w:rPr>
                <w:rFonts w:hint="eastAsia" w:ascii="宋体" w:hAnsi="宋体" w:eastAsia="宋体" w:cs="宋体"/>
                <w:sz w:val="20"/>
                <w:szCs w:val="20"/>
                <w:lang w:eastAsia="en-US"/>
              </w:rPr>
              <w:t>高空海洋站</w:t>
            </w:r>
            <w:r>
              <w:rPr>
                <w:sz w:val="20"/>
                <w:szCs w:val="20"/>
                <w:lang w:eastAsia="en-US"/>
              </w:rPr>
              <w:t>1000 km</w:t>
            </w:r>
          </w:p>
        </w:tc>
        <w:tc>
          <w:tcPr>
            <w:tcW w:w="839" w:type="pct"/>
            <w:shd w:val="clear" w:color="auto" w:fill="auto"/>
            <w:vAlign w:val="center"/>
          </w:tcPr>
          <w:p>
            <w:pPr>
              <w:pStyle w:val="2"/>
              <w:rPr>
                <w:sz w:val="22"/>
                <w:lang w:eastAsia="en-US"/>
              </w:rPr>
            </w:pPr>
          </w:p>
        </w:tc>
        <w:tc>
          <w:tcPr>
            <w:tcW w:w="834" w:type="pct"/>
            <w:shd w:val="clear" w:color="auto" w:fill="auto"/>
            <w:vAlign w:val="center"/>
          </w:tcPr>
          <w:p>
            <w:pPr>
              <w:keepNext/>
              <w:keepLines/>
              <w:spacing w:before="60" w:after="60"/>
              <w:rPr>
                <w:rFonts w:eastAsia="Verdana" w:cs="Segoe UI"/>
                <w:sz w:val="20"/>
                <w:szCs w:val="20"/>
                <w:lang w:eastAsia="en-US"/>
              </w:rPr>
            </w:pPr>
          </w:p>
        </w:tc>
        <w:tc>
          <w:tcPr>
            <w:tcW w:w="834" w:type="pct"/>
            <w:shd w:val="clear" w:color="auto" w:fill="auto"/>
            <w:vAlign w:val="center"/>
          </w:tcPr>
          <w:p>
            <w:pPr>
              <w:keepNext/>
              <w:keepLines/>
              <w:spacing w:before="60" w:after="60"/>
              <w:rPr>
                <w:rFonts w:eastAsia="Verdana" w:cs="Segoe UI"/>
                <w:sz w:val="20"/>
                <w:szCs w:val="20"/>
                <w:lang w:eastAsia="en-US"/>
              </w:rPr>
            </w:pPr>
          </w:p>
        </w:tc>
        <w:tc>
          <w:tcPr>
            <w:tcW w:w="765" w:type="pct"/>
            <w:shd w:val="clear" w:color="auto" w:fill="auto"/>
            <w:vAlign w:val="center"/>
          </w:tcPr>
          <w:p>
            <w:pPr>
              <w:keepNext/>
              <w:keepLines/>
              <w:spacing w:before="60" w:after="60"/>
              <w:rPr>
                <w:rFonts w:eastAsia="Verdana" w:cs="Segoe UI"/>
                <w:sz w:val="20"/>
                <w:szCs w:val="20"/>
                <w:lang w:eastAsia="en-US"/>
              </w:rPr>
            </w:pPr>
          </w:p>
        </w:tc>
        <w:tc>
          <w:tcPr>
            <w:tcW w:w="764" w:type="pct"/>
            <w:shd w:val="clear" w:color="auto" w:fill="auto"/>
            <w:vAlign w:val="center"/>
          </w:tcPr>
          <w:p>
            <w:pPr>
              <w:keepNext/>
              <w:keepLines/>
              <w:spacing w:before="60" w:after="60"/>
              <w:rPr>
                <w:rFonts w:eastAsia="Verdana" w:cs="Segoe UI"/>
                <w:sz w:val="20"/>
                <w:szCs w:val="20"/>
                <w:lang w:eastAsia="en-US"/>
              </w:rPr>
            </w:pPr>
          </w:p>
        </w:tc>
      </w:tr>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994" w:hRule="atLeast"/>
          <w:jc w:val="center"/>
        </w:trPr>
        <w:tc>
          <w:tcPr>
            <w:tcW w:w="964" w:type="pct"/>
            <w:shd w:val="clear" w:color="auto" w:fill="auto"/>
            <w:vAlign w:val="center"/>
          </w:tcPr>
          <w:p>
            <w:pPr>
              <w:keepNext/>
              <w:keepLines/>
              <w:spacing w:before="60" w:after="60"/>
              <w:rPr>
                <w:rFonts w:eastAsia="Calibri"/>
                <w:smallCaps/>
                <w:sz w:val="20"/>
                <w:szCs w:val="20"/>
                <w:lang w:eastAsia="en-US"/>
              </w:rPr>
            </w:pPr>
            <w:r>
              <w:rPr>
                <w:rFonts w:hint="eastAsia" w:ascii="宋体" w:hAnsi="宋体" w:eastAsia="宋体" w:cs="宋体"/>
                <w:smallCaps/>
                <w:sz w:val="20"/>
                <w:szCs w:val="20"/>
                <w:lang w:eastAsia="en-US"/>
              </w:rPr>
              <w:t>海面</w:t>
            </w:r>
            <w:r>
              <w:rPr>
                <w:rFonts w:hint="eastAsia" w:ascii="宋体" w:hAnsi="宋体" w:eastAsia="宋体" w:cs="宋体"/>
                <w:smallCaps/>
                <w:sz w:val="20"/>
                <w:szCs w:val="20"/>
                <w:lang w:eastAsia="zh-CN"/>
              </w:rPr>
              <w:t>观测</w:t>
            </w:r>
            <w:r>
              <w:rPr>
                <w:rFonts w:hint="eastAsia" w:ascii="宋体" w:hAnsi="宋体" w:eastAsia="宋体" w:cs="宋体"/>
                <w:smallCaps/>
                <w:sz w:val="20"/>
                <w:szCs w:val="20"/>
                <w:lang w:eastAsia="en-US"/>
              </w:rPr>
              <w:t>站</w:t>
            </w:r>
            <w:r>
              <w:rPr>
                <w:rFonts w:eastAsia="Calibri"/>
                <w:smallCaps/>
                <w:sz w:val="20"/>
                <w:szCs w:val="20"/>
                <w:lang w:eastAsia="en-US"/>
              </w:rPr>
              <w:t>500 </w:t>
            </w:r>
            <w:r>
              <w:rPr>
                <w:sz w:val="20"/>
                <w:szCs w:val="20"/>
                <w:lang w:eastAsia="en-US"/>
              </w:rPr>
              <w:t>km</w:t>
            </w:r>
          </w:p>
        </w:tc>
        <w:tc>
          <w:tcPr>
            <w:tcW w:w="839" w:type="pct"/>
            <w:shd w:val="clear" w:color="auto" w:fill="auto"/>
            <w:vAlign w:val="center"/>
          </w:tcPr>
          <w:p>
            <w:pPr>
              <w:keepNext/>
              <w:keepLines/>
              <w:spacing w:before="60" w:after="60"/>
              <w:rPr>
                <w:rFonts w:eastAsia="Verdana" w:cs="Segoe UI"/>
                <w:sz w:val="20"/>
                <w:szCs w:val="20"/>
                <w:lang w:eastAsia="en-US"/>
              </w:rPr>
            </w:pPr>
          </w:p>
        </w:tc>
        <w:tc>
          <w:tcPr>
            <w:tcW w:w="834" w:type="pct"/>
            <w:shd w:val="clear" w:color="auto" w:fill="auto"/>
            <w:vAlign w:val="center"/>
          </w:tcPr>
          <w:p>
            <w:pPr>
              <w:keepNext/>
              <w:keepLines/>
              <w:spacing w:before="60" w:after="60"/>
              <w:rPr>
                <w:rFonts w:eastAsia="Verdana" w:cs="Segoe UI"/>
                <w:sz w:val="20"/>
                <w:szCs w:val="20"/>
                <w:lang w:eastAsia="en-US"/>
              </w:rPr>
            </w:pPr>
          </w:p>
        </w:tc>
        <w:tc>
          <w:tcPr>
            <w:tcW w:w="834" w:type="pct"/>
            <w:shd w:val="clear" w:color="auto" w:fill="auto"/>
            <w:vAlign w:val="center"/>
          </w:tcPr>
          <w:p>
            <w:pPr>
              <w:keepNext/>
              <w:keepLines/>
              <w:spacing w:before="60" w:after="60"/>
              <w:rPr>
                <w:rFonts w:eastAsia="Verdana" w:cs="Segoe UI"/>
                <w:sz w:val="20"/>
                <w:szCs w:val="20"/>
                <w:lang w:eastAsia="en-US"/>
              </w:rPr>
            </w:pPr>
          </w:p>
        </w:tc>
        <w:tc>
          <w:tcPr>
            <w:tcW w:w="765" w:type="pct"/>
            <w:shd w:val="clear" w:color="auto" w:fill="auto"/>
            <w:vAlign w:val="center"/>
          </w:tcPr>
          <w:p>
            <w:pPr>
              <w:keepNext/>
              <w:keepLines/>
              <w:spacing w:before="60" w:after="60"/>
              <w:rPr>
                <w:rFonts w:eastAsia="Verdana" w:cs="Segoe UI"/>
                <w:sz w:val="20"/>
                <w:szCs w:val="20"/>
                <w:lang w:eastAsia="en-US"/>
              </w:rPr>
            </w:pPr>
          </w:p>
        </w:tc>
        <w:tc>
          <w:tcPr>
            <w:tcW w:w="764" w:type="pct"/>
            <w:shd w:val="clear" w:color="auto" w:fill="auto"/>
            <w:vAlign w:val="center"/>
          </w:tcPr>
          <w:p>
            <w:pPr>
              <w:keepNext/>
              <w:keepLines/>
              <w:spacing w:before="60" w:after="60"/>
              <w:rPr>
                <w:rFonts w:eastAsia="Verdana" w:cs="Segoe UI"/>
                <w:sz w:val="20"/>
                <w:szCs w:val="20"/>
                <w:lang w:eastAsia="en-US"/>
              </w:rPr>
            </w:pPr>
          </w:p>
        </w:tc>
      </w:tr>
    </w:tbl>
    <w:p>
      <w:pPr>
        <w:spacing w:after="240" w:line="240" w:lineRule="exact"/>
        <w:contextualSpacing/>
        <w:rPr>
          <w:rFonts w:eastAsia="Calibri" w:cs="Segoe UI"/>
        </w:rPr>
      </w:pPr>
    </w:p>
    <w:p>
      <w:pPr>
        <w:spacing w:after="240"/>
        <w:rPr>
          <w:rFonts w:ascii="宋体" w:hAnsi="宋体" w:eastAsia="宋体" w:cs="宋体"/>
          <w:lang w:eastAsia="zh-CN"/>
        </w:rPr>
      </w:pPr>
      <w:r>
        <w:rPr>
          <w:rFonts w:hint="eastAsia" w:ascii="宋体" w:hAnsi="宋体" w:eastAsia="宋体" w:cs="宋体"/>
          <w:lang w:eastAsia="zh-CN"/>
        </w:rPr>
        <w:t>全球差距分析结果的注意事项：</w:t>
      </w:r>
    </w:p>
    <w:p>
      <w:pPr>
        <w:numPr>
          <w:ilvl w:val="0"/>
          <w:numId w:val="11"/>
        </w:numPr>
        <w:tabs>
          <w:tab w:val="left" w:pos="1134"/>
        </w:tabs>
        <w:spacing w:before="240" w:after="240" w:line="240" w:lineRule="exact"/>
        <w:ind w:left="567" w:hanging="567"/>
        <w:jc w:val="both"/>
        <w:rPr>
          <w:lang w:eastAsia="zh-CN"/>
        </w:rPr>
      </w:pPr>
      <w:r>
        <w:rPr>
          <w:rFonts w:hint="eastAsia" w:ascii="宋体" w:hAnsi="宋体" w:eastAsia="宋体" w:cs="宋体"/>
          <w:lang w:eastAsia="zh-CN"/>
        </w:rPr>
        <w:t>注意到</w:t>
      </w:r>
      <w:r>
        <w:rPr>
          <w:rFonts w:hint="eastAsia"/>
          <w:lang w:eastAsia="zh-CN"/>
        </w:rPr>
        <w:t>GBON</w:t>
      </w:r>
      <w:r>
        <w:rPr>
          <w:rFonts w:hint="eastAsia" w:ascii="宋体" w:hAnsi="宋体" w:eastAsia="宋体" w:cs="宋体"/>
          <w:lang w:eastAsia="zh-CN"/>
        </w:rPr>
        <w:t>的要求是每天探测两次，</w:t>
      </w:r>
      <w:r>
        <w:rPr>
          <w:rFonts w:hint="eastAsia"/>
          <w:lang w:eastAsia="zh-CN"/>
        </w:rPr>
        <w:t>GBON</w:t>
      </w:r>
      <w:r>
        <w:rPr>
          <w:rFonts w:hint="eastAsia" w:ascii="宋体" w:hAnsi="宋体" w:eastAsia="宋体" w:cs="宋体"/>
          <w:lang w:eastAsia="zh-CN"/>
        </w:rPr>
        <w:t>高空陆地站的报告门槛是每天探测一次；</w:t>
      </w:r>
    </w:p>
    <w:p>
      <w:pPr>
        <w:numPr>
          <w:ilvl w:val="0"/>
          <w:numId w:val="11"/>
        </w:numPr>
        <w:tabs>
          <w:tab w:val="left" w:pos="1134"/>
        </w:tabs>
        <w:spacing w:after="240" w:line="240" w:lineRule="exact"/>
        <w:ind w:left="567" w:hanging="567"/>
        <w:jc w:val="both"/>
        <w:rPr>
          <w:rFonts w:ascii="宋体" w:hAnsi="宋体" w:eastAsia="宋体" w:cs="宋体"/>
          <w:lang w:eastAsia="zh-CN"/>
        </w:rPr>
      </w:pPr>
      <w:r>
        <w:rPr>
          <w:rFonts w:hint="eastAsia" w:ascii="宋体" w:hAnsi="宋体" w:eastAsia="宋体" w:cs="宋体"/>
          <w:lang w:eastAsia="zh-CN"/>
        </w:rPr>
        <w:t>对于</w:t>
      </w:r>
      <w:r>
        <w:rPr>
          <w:rFonts w:hint="eastAsia"/>
          <w:lang w:eastAsia="zh-CN"/>
        </w:rPr>
        <w:t>SIDS</w:t>
      </w:r>
      <w:r>
        <w:rPr>
          <w:rFonts w:hint="eastAsia" w:ascii="宋体" w:hAnsi="宋体" w:eastAsia="宋体" w:cs="宋体"/>
          <w:lang w:eastAsia="zh-CN"/>
        </w:rPr>
        <w:t>来说，</w:t>
      </w:r>
      <w:r>
        <w:rPr>
          <w:rFonts w:hint="eastAsia"/>
          <w:lang w:eastAsia="zh-CN"/>
        </w:rPr>
        <w:t>EEZ</w:t>
      </w:r>
      <w:r>
        <w:rPr>
          <w:rFonts w:hint="eastAsia" w:ascii="宋体" w:hAnsi="宋体" w:eastAsia="宋体" w:cs="宋体"/>
          <w:lang w:eastAsia="zh-CN"/>
        </w:rPr>
        <w:t>的面积已加入地面总面积中，这是确定目标台站数量的基础；</w:t>
      </w:r>
    </w:p>
    <w:p>
      <w:pPr>
        <w:numPr>
          <w:ilvl w:val="0"/>
          <w:numId w:val="11"/>
        </w:numPr>
        <w:tabs>
          <w:tab w:val="left" w:pos="1134"/>
        </w:tabs>
        <w:spacing w:after="240" w:line="240" w:lineRule="exact"/>
        <w:ind w:left="567" w:hanging="567"/>
        <w:jc w:val="both"/>
        <w:rPr>
          <w:rFonts w:ascii="宋体" w:hAnsi="宋体" w:eastAsia="宋体" w:cs="宋体"/>
          <w:lang w:eastAsia="zh-CN"/>
        </w:rPr>
      </w:pPr>
      <w:r>
        <w:rPr>
          <w:rFonts w:hint="eastAsia" w:ascii="宋体" w:hAnsi="宋体" w:eastAsia="宋体" w:cs="宋体"/>
          <w:lang w:eastAsia="zh-CN"/>
        </w:rPr>
        <w:t>地面面积是根据地理信息系统模型计算的，可能与官方记录略有出入。</w:t>
      </w:r>
    </w:p>
    <w:p>
      <w:pPr>
        <w:spacing w:after="240" w:line="240" w:lineRule="exact"/>
        <w:rPr>
          <w:rFonts w:ascii="微软雅黑" w:hAnsi="微软雅黑" w:eastAsia="微软雅黑" w:cs="微软雅黑"/>
          <w:b/>
          <w:bCs/>
          <w:lang w:eastAsia="zh-CN"/>
        </w:rPr>
      </w:pPr>
      <w:r>
        <w:rPr>
          <w:rFonts w:hint="eastAsia" w:ascii="微软雅黑" w:hAnsi="微软雅黑" w:eastAsia="微软雅黑" w:cs="微软雅黑"/>
          <w:b/>
          <w:bCs/>
          <w:lang w:eastAsia="zh-CN"/>
        </w:rPr>
        <w:t>步骤</w:t>
      </w:r>
      <w:r>
        <w:rPr>
          <w:rFonts w:eastAsia="微软雅黑" w:cs="Verdana"/>
          <w:b/>
          <w:bCs/>
          <w:lang w:eastAsia="zh-CN"/>
        </w:rPr>
        <w:t>2</w:t>
      </w:r>
      <w:r>
        <w:rPr>
          <w:rFonts w:hint="eastAsia" w:ascii="微软雅黑" w:hAnsi="微软雅黑" w:eastAsia="微软雅黑" w:cs="微软雅黑"/>
          <w:b/>
          <w:bCs/>
          <w:lang w:eastAsia="zh-CN"/>
        </w:rPr>
        <w:t>——根据</w:t>
      </w:r>
      <w:r>
        <w:rPr>
          <w:rFonts w:eastAsia="微软雅黑" w:cs="Verdana"/>
          <w:b/>
          <w:bCs/>
          <w:lang w:eastAsia="zh-CN"/>
        </w:rPr>
        <w:t>GBON</w:t>
      </w:r>
      <w:r>
        <w:rPr>
          <w:rFonts w:hint="eastAsia" w:ascii="微软雅黑" w:hAnsi="微软雅黑" w:eastAsia="微软雅黑" w:cs="微软雅黑"/>
          <w:b/>
          <w:bCs/>
          <w:lang w:eastAsia="zh-CN"/>
        </w:rPr>
        <w:t>要求分析现有</w:t>
      </w:r>
      <w:r>
        <w:rPr>
          <w:rFonts w:eastAsia="微软雅黑" w:cs="Verdana"/>
          <w:b/>
          <w:bCs/>
          <w:lang w:eastAsia="zh-CN"/>
        </w:rPr>
        <w:t>GBON</w:t>
      </w:r>
      <w:r>
        <w:rPr>
          <w:rFonts w:hint="eastAsia" w:ascii="微软雅黑" w:hAnsi="微软雅黑" w:eastAsia="微软雅黑" w:cs="微软雅黑"/>
          <w:b/>
          <w:bCs/>
          <w:lang w:eastAsia="zh-CN"/>
        </w:rPr>
        <w:t>台站及其状态</w:t>
      </w:r>
    </w:p>
    <w:p>
      <w:pPr>
        <w:spacing w:after="240" w:line="240" w:lineRule="exact"/>
        <w:rPr>
          <w:rFonts w:ascii="宋体" w:hAnsi="宋体" w:eastAsia="宋体" w:cs="宋体"/>
          <w:lang w:eastAsia="zh-CN"/>
        </w:rPr>
      </w:pPr>
      <w:r>
        <w:rPr>
          <w:rFonts w:hint="eastAsia" w:ascii="宋体" w:hAnsi="宋体" w:eastAsia="宋体" w:cs="宋体"/>
          <w:lang w:eastAsia="zh-CN"/>
        </w:rPr>
        <w:t>在步骤</w:t>
      </w:r>
      <w:r>
        <w:rPr>
          <w:rFonts w:hint="eastAsia" w:eastAsia="Verdana" w:cs="Segoe UI"/>
          <w:lang w:eastAsia="zh-CN"/>
        </w:rPr>
        <w:t>2</w:t>
      </w:r>
      <w:r>
        <w:rPr>
          <w:rFonts w:hint="eastAsia" w:ascii="宋体" w:hAnsi="宋体" w:eastAsia="宋体" w:cs="宋体"/>
          <w:lang w:eastAsia="zh-CN"/>
        </w:rPr>
        <w:t>（表</w:t>
      </w:r>
      <w:r>
        <w:rPr>
          <w:rFonts w:hint="eastAsia" w:eastAsia="Verdana" w:cs="Segoe UI"/>
          <w:lang w:eastAsia="zh-CN"/>
        </w:rPr>
        <w:t>5.3</w:t>
      </w:r>
      <w:r>
        <w:rPr>
          <w:rFonts w:hint="eastAsia" w:ascii="宋体" w:hAnsi="宋体" w:eastAsia="宋体" w:cs="宋体"/>
          <w:lang w:eastAsia="zh-CN"/>
        </w:rPr>
        <w:t>）中，会员评估现有的国家观测网和台站。这包括由</w:t>
      </w:r>
      <w:r>
        <w:rPr>
          <w:rFonts w:hint="eastAsia" w:eastAsia="Verdana" w:cs="Segoe UI"/>
          <w:lang w:eastAsia="zh-CN"/>
        </w:rPr>
        <w:t>NMHS</w:t>
      </w:r>
      <w:r>
        <w:rPr>
          <w:rFonts w:hint="eastAsia" w:ascii="宋体" w:hAnsi="宋体" w:eastAsia="宋体" w:cs="宋体"/>
          <w:lang w:eastAsia="zh-CN"/>
        </w:rPr>
        <w:t>和其他政府机构或私营部门运行的台站，这些台站有可能被纳入国家</w:t>
      </w:r>
      <w:r>
        <w:rPr>
          <w:rFonts w:hint="eastAsia" w:eastAsia="Verdana" w:cs="Segoe UI"/>
          <w:lang w:eastAsia="zh-CN"/>
        </w:rPr>
        <w:t>GBON</w:t>
      </w:r>
      <w:r>
        <w:rPr>
          <w:rFonts w:hint="eastAsia" w:ascii="宋体" w:hAnsi="宋体" w:eastAsia="宋体" w:cs="宋体"/>
          <w:lang w:eastAsia="zh-CN"/>
        </w:rPr>
        <w:t>。评估台站的运行状况，报告各种变量，并提供显示台站分布情况的地图。</w:t>
      </w:r>
    </w:p>
    <w:p>
      <w:pPr>
        <w:spacing w:after="240" w:line="240" w:lineRule="exact"/>
        <w:rPr>
          <w:rFonts w:ascii="宋体" w:hAnsi="宋体" w:eastAsia="宋体" w:cs="宋体"/>
          <w:lang w:eastAsia="zh-CN"/>
        </w:rPr>
      </w:pPr>
      <w:r>
        <w:rPr>
          <w:rFonts w:hint="eastAsia" w:ascii="宋体" w:hAnsi="宋体" w:eastAsia="宋体" w:cs="宋体"/>
          <w:lang w:eastAsia="zh-CN"/>
        </w:rPr>
        <w:t>首先，评估由</w:t>
      </w:r>
      <w:r>
        <w:rPr>
          <w:rFonts w:hint="eastAsia" w:eastAsia="Segoe UI" w:cs="Segoe UI"/>
          <w:lang w:eastAsia="zh-CN"/>
        </w:rPr>
        <w:t>NMHS</w:t>
      </w:r>
      <w:r>
        <w:rPr>
          <w:rFonts w:hint="eastAsia" w:ascii="宋体" w:hAnsi="宋体" w:eastAsia="宋体" w:cs="微软雅黑"/>
          <w:lang w:eastAsia="zh-CN"/>
        </w:rPr>
        <w:t>和</w:t>
      </w:r>
      <w:r>
        <w:rPr>
          <w:rFonts w:hint="eastAsia" w:ascii="宋体" w:hAnsi="宋体" w:eastAsia="宋体" w:cs="宋体"/>
          <w:lang w:eastAsia="zh-CN"/>
        </w:rPr>
        <w:t>第三方运营商运行的观测网。根据</w:t>
      </w:r>
      <w:r>
        <w:rPr>
          <w:rFonts w:hint="eastAsia" w:eastAsia="Segoe UI" w:cs="Segoe UI"/>
          <w:lang w:eastAsia="zh-CN"/>
        </w:rPr>
        <w:t>2.1</w:t>
      </w:r>
      <w:r>
        <w:rPr>
          <w:rFonts w:hint="eastAsia" w:ascii="宋体" w:hAnsi="宋体" w:eastAsia="宋体" w:cs="宋体"/>
          <w:lang w:eastAsia="zh-CN"/>
        </w:rPr>
        <w:t>中表</w:t>
      </w:r>
      <w:r>
        <w:rPr>
          <w:rFonts w:hint="eastAsia" w:eastAsia="Segoe UI" w:cs="Segoe UI"/>
          <w:lang w:eastAsia="zh-CN"/>
        </w:rPr>
        <w:t>2.1</w:t>
      </w:r>
      <w:r>
        <w:rPr>
          <w:rFonts w:hint="eastAsia" w:ascii="宋体" w:hAnsi="宋体" w:eastAsia="宋体" w:cs="宋体"/>
          <w:lang w:eastAsia="zh-CN"/>
        </w:rPr>
        <w:t>左列所述的</w:t>
      </w:r>
      <w:r>
        <w:rPr>
          <w:rFonts w:hint="eastAsia" w:eastAsia="Segoe UI" w:cs="Segoe UI"/>
          <w:lang w:eastAsia="zh-CN"/>
        </w:rPr>
        <w:t>GBON</w:t>
      </w:r>
      <w:r>
        <w:rPr>
          <w:rFonts w:hint="eastAsia" w:ascii="宋体" w:hAnsi="宋体" w:eastAsia="宋体" w:cs="宋体"/>
          <w:lang w:eastAsia="zh-CN"/>
        </w:rPr>
        <w:t>强制性要求对观测网进行评估。</w:t>
      </w:r>
    </w:p>
    <w:p>
      <w:pPr>
        <w:keepNext/>
        <w:keepLines/>
        <w:spacing w:after="240" w:line="240" w:lineRule="exact"/>
        <w:rPr>
          <w:rFonts w:ascii="宋体" w:hAnsi="宋体" w:eastAsia="宋体" w:cs="宋体"/>
          <w:lang w:eastAsia="zh-CN"/>
        </w:rPr>
      </w:pPr>
      <w:r>
        <w:rPr>
          <w:rFonts w:hint="eastAsia" w:ascii="宋体" w:hAnsi="宋体" w:eastAsia="宋体" w:cs="宋体"/>
          <w:lang w:eastAsia="zh-CN"/>
        </w:rPr>
        <w:t>步骤</w:t>
      </w:r>
      <w:r>
        <w:rPr>
          <w:rFonts w:hint="eastAsia" w:eastAsia="Calibri" w:cs="Segoe UI"/>
          <w:lang w:eastAsia="zh-CN"/>
        </w:rPr>
        <w:t>2</w:t>
      </w:r>
      <w:r>
        <w:rPr>
          <w:rFonts w:hint="eastAsia" w:ascii="宋体" w:hAnsi="宋体" w:eastAsia="宋体" w:cs="宋体"/>
          <w:lang w:eastAsia="zh-CN"/>
        </w:rPr>
        <w:t>中待分析的要素为：</w:t>
      </w:r>
    </w:p>
    <w:p>
      <w:pPr>
        <w:keepNext/>
        <w:keepLines/>
        <w:numPr>
          <w:ilvl w:val="0"/>
          <w:numId w:val="12"/>
        </w:numPr>
        <w:tabs>
          <w:tab w:val="left" w:pos="1134"/>
        </w:tabs>
        <w:spacing w:after="240" w:line="240" w:lineRule="exact"/>
        <w:ind w:left="567" w:hanging="567"/>
        <w:jc w:val="both"/>
        <w:rPr>
          <w:rFonts w:ascii="宋体" w:hAnsi="宋体" w:eastAsia="宋体" w:cs="宋体"/>
          <w:b/>
          <w:lang w:eastAsia="zh-CN"/>
        </w:rPr>
      </w:pPr>
      <w:r>
        <w:rPr>
          <w:rFonts w:eastAsia="微软雅黑" w:cs="Verdana"/>
          <w:b/>
          <w:bCs/>
          <w:lang w:eastAsia="zh-CN"/>
        </w:rPr>
        <w:t>NMHS</w:t>
      </w:r>
      <w:r>
        <w:rPr>
          <w:rFonts w:hint="eastAsia" w:eastAsia="微软雅黑" w:cs="Verdana"/>
          <w:b/>
          <w:bCs/>
          <w:lang w:eastAsia="zh-CN"/>
        </w:rPr>
        <w:t>观测</w:t>
      </w:r>
      <w:r>
        <w:rPr>
          <w:rFonts w:hint="eastAsia" w:ascii="微软雅黑" w:hAnsi="微软雅黑" w:eastAsia="微软雅黑" w:cs="微软雅黑"/>
          <w:b/>
          <w:bCs/>
          <w:lang w:eastAsia="zh-CN"/>
        </w:rPr>
        <w:t>网</w:t>
      </w:r>
      <w:r>
        <w:rPr>
          <w:rFonts w:hint="eastAsia" w:ascii="宋体" w:hAnsi="宋体" w:eastAsia="宋体" w:cs="宋体"/>
          <w:lang w:eastAsia="zh-CN"/>
        </w:rPr>
        <w:t>：</w:t>
      </w:r>
      <w:r>
        <w:rPr>
          <w:rFonts w:hint="eastAsia" w:eastAsia="Calibri" w:cs="Segoe UI"/>
          <w:lang w:eastAsia="zh-CN"/>
        </w:rPr>
        <w:t>NMHS</w:t>
      </w:r>
      <w:r>
        <w:rPr>
          <w:rFonts w:hint="eastAsia" w:ascii="宋体" w:hAnsi="宋体" w:eastAsia="宋体" w:cs="宋体"/>
          <w:lang w:eastAsia="zh-CN"/>
        </w:rPr>
        <w:t>管理的台站数量。对地面、高空和海洋台站进行评估，并将其归类为“报告中”或“有待改进”；</w:t>
      </w:r>
    </w:p>
    <w:p>
      <w:pPr>
        <w:numPr>
          <w:ilvl w:val="0"/>
          <w:numId w:val="12"/>
        </w:numPr>
        <w:tabs>
          <w:tab w:val="left" w:pos="1134"/>
        </w:tabs>
        <w:spacing w:after="240" w:line="240" w:lineRule="exact"/>
        <w:ind w:left="567" w:hanging="567"/>
        <w:jc w:val="both"/>
        <w:rPr>
          <w:rFonts w:ascii="宋体" w:hAnsi="宋体" w:eastAsia="宋体" w:cs="宋体"/>
          <w:lang w:eastAsia="zh-CN"/>
        </w:rPr>
      </w:pPr>
      <w:r>
        <w:rPr>
          <w:rFonts w:hint="eastAsia" w:ascii="微软雅黑" w:hAnsi="微软雅黑" w:eastAsia="微软雅黑" w:cs="微软雅黑"/>
          <w:b/>
          <w:bCs/>
          <w:lang w:eastAsia="zh-CN"/>
        </w:rPr>
        <w:t>第三方</w:t>
      </w:r>
      <w:r>
        <w:rPr>
          <w:rFonts w:hint="eastAsia" w:eastAsia="微软雅黑" w:cs="Verdana"/>
          <w:b/>
          <w:bCs/>
          <w:lang w:eastAsia="zh-CN"/>
        </w:rPr>
        <w:t>观测</w:t>
      </w:r>
      <w:r>
        <w:rPr>
          <w:rFonts w:hint="eastAsia" w:ascii="微软雅黑" w:hAnsi="微软雅黑" w:eastAsia="微软雅黑" w:cs="微软雅黑"/>
          <w:b/>
          <w:bCs/>
          <w:lang w:eastAsia="zh-CN"/>
        </w:rPr>
        <w:t>网：</w:t>
      </w:r>
      <w:r>
        <w:rPr>
          <w:rFonts w:hint="eastAsia" w:ascii="宋体" w:hAnsi="宋体" w:eastAsia="宋体" w:cs="宋体"/>
          <w:lang w:eastAsia="zh-CN"/>
        </w:rPr>
        <w:t>评估第三方运营的可能有助于</w:t>
      </w:r>
      <w:r>
        <w:rPr>
          <w:rFonts w:eastAsia="宋体" w:cs="Verdana"/>
          <w:lang w:eastAsia="zh-CN"/>
        </w:rPr>
        <w:t>GBON</w:t>
      </w:r>
      <w:r>
        <w:rPr>
          <w:rFonts w:hint="eastAsia" w:ascii="宋体" w:hAnsi="宋体" w:eastAsia="宋体" w:cs="宋体"/>
          <w:lang w:eastAsia="zh-CN"/>
        </w:rPr>
        <w:t>发展或被纳入</w:t>
      </w:r>
      <w:r>
        <w:rPr>
          <w:rFonts w:eastAsia="宋体" w:cs="Verdana"/>
          <w:lang w:eastAsia="zh-CN"/>
        </w:rPr>
        <w:t>GBON</w:t>
      </w:r>
      <w:r>
        <w:rPr>
          <w:rFonts w:hint="eastAsia" w:ascii="宋体" w:hAnsi="宋体" w:eastAsia="宋体" w:cs="宋体"/>
          <w:lang w:eastAsia="zh-CN"/>
        </w:rPr>
        <w:t>的地面、高空和海洋台站的数量，并将其归类为“报告中”或“有待改进”。并非所有第三方观测网都一定是已知的，应根据现有最佳知识评估这一要素；</w:t>
      </w:r>
    </w:p>
    <w:p>
      <w:pPr>
        <w:numPr>
          <w:ilvl w:val="0"/>
          <w:numId w:val="12"/>
        </w:numPr>
        <w:tabs>
          <w:tab w:val="left" w:pos="1134"/>
        </w:tabs>
        <w:spacing w:after="240" w:line="240" w:lineRule="exact"/>
        <w:ind w:left="567" w:hanging="567"/>
        <w:jc w:val="both"/>
        <w:rPr>
          <w:rFonts w:ascii="宋体" w:hAnsi="宋体" w:eastAsia="宋体" w:cs="宋体"/>
          <w:bCs/>
          <w:lang w:eastAsia="zh-CN"/>
        </w:rPr>
      </w:pPr>
      <w:r>
        <w:rPr>
          <w:rFonts w:hint="eastAsia" w:ascii="微软雅黑" w:hAnsi="微软雅黑" w:eastAsia="微软雅黑" w:cs="微软雅黑"/>
          <w:b/>
          <w:lang w:eastAsia="zh-CN"/>
        </w:rPr>
        <w:t>台站信息：</w:t>
      </w:r>
      <w:r>
        <w:rPr>
          <w:rFonts w:hint="eastAsia" w:ascii="宋体" w:hAnsi="宋体" w:eastAsia="宋体" w:cs="宋体"/>
          <w:bCs/>
          <w:lang w:eastAsia="zh-CN"/>
        </w:rPr>
        <w:t>台站名称和所有者，台站在报告哪些变量以及报告的频率（表</w:t>
      </w:r>
      <w:r>
        <w:rPr>
          <w:rFonts w:eastAsia="宋体" w:cs="Verdana"/>
          <w:bCs/>
          <w:lang w:eastAsia="zh-CN"/>
        </w:rPr>
        <w:t>5.4</w:t>
      </w:r>
      <w:r>
        <w:rPr>
          <w:rFonts w:hint="eastAsia" w:ascii="宋体" w:hAnsi="宋体" w:eastAsia="宋体" w:cs="宋体"/>
          <w:bCs/>
          <w:lang w:eastAsia="zh-CN"/>
        </w:rPr>
        <w:t>）。</w:t>
      </w:r>
    </w:p>
    <w:p>
      <w:pPr>
        <w:spacing w:after="240" w:line="240" w:lineRule="exact"/>
        <w:rPr>
          <w:rFonts w:ascii="宋体" w:hAnsi="宋体" w:eastAsia="宋体" w:cs="宋体"/>
        </w:rPr>
      </w:pPr>
      <w:r>
        <w:rPr>
          <w:rFonts w:hint="eastAsia" w:ascii="宋体" w:hAnsi="宋体" w:eastAsia="宋体" w:cs="宋体"/>
        </w:rPr>
        <w:t>现有</w:t>
      </w:r>
      <w:r>
        <w:rPr>
          <w:rFonts w:hint="eastAsia" w:ascii="宋体" w:hAnsi="宋体" w:eastAsia="宋体" w:cs="宋体"/>
          <w:lang w:eastAsia="zh-CN"/>
        </w:rPr>
        <w:t>台站</w:t>
      </w:r>
      <w:r>
        <w:rPr>
          <w:rFonts w:hint="eastAsia" w:ascii="宋体" w:hAnsi="宋体" w:eastAsia="宋体" w:cs="宋体"/>
        </w:rPr>
        <w:t>的状态如下：</w:t>
      </w:r>
    </w:p>
    <w:p>
      <w:pPr>
        <w:numPr>
          <w:ilvl w:val="0"/>
          <w:numId w:val="13"/>
        </w:numPr>
        <w:spacing w:after="240" w:line="240" w:lineRule="exact"/>
        <w:ind w:left="567" w:hanging="567"/>
        <w:rPr>
          <w:rFonts w:ascii="宋体" w:hAnsi="宋体" w:eastAsia="宋体" w:cs="宋体"/>
          <w:bCs/>
          <w:lang w:eastAsia="zh-CN"/>
        </w:rPr>
      </w:pPr>
      <w:r>
        <w:rPr>
          <w:rFonts w:hint="eastAsia" w:ascii="微软雅黑" w:hAnsi="微软雅黑" w:eastAsia="微软雅黑" w:cs="微软雅黑"/>
          <w:b/>
          <w:lang w:eastAsia="zh-CN"/>
        </w:rPr>
        <w:t>报告：</w:t>
      </w:r>
      <w:r>
        <w:rPr>
          <w:rFonts w:hint="eastAsia" w:ascii="宋体" w:hAnsi="宋体" w:eastAsia="宋体" w:cs="宋体"/>
          <w:bCs/>
          <w:lang w:eastAsia="zh-CN"/>
        </w:rPr>
        <w:t>业务台站是否测量所有</w:t>
      </w:r>
      <w:r>
        <w:rPr>
          <w:rFonts w:eastAsia="宋体" w:cs="Verdana"/>
          <w:bCs/>
          <w:lang w:eastAsia="zh-CN"/>
        </w:rPr>
        <w:t>GBON</w:t>
      </w:r>
      <w:r>
        <w:rPr>
          <w:rFonts w:hint="eastAsia" w:ascii="宋体" w:hAnsi="宋体" w:eastAsia="宋体" w:cs="宋体"/>
          <w:bCs/>
          <w:lang w:eastAsia="zh-CN"/>
        </w:rPr>
        <w:t>变量并将数据实时交换到</w:t>
      </w:r>
      <w:r>
        <w:rPr>
          <w:rFonts w:eastAsia="宋体" w:cs="Verdana"/>
          <w:bCs/>
          <w:lang w:eastAsia="zh-CN"/>
        </w:rPr>
        <w:t>WIS</w:t>
      </w:r>
      <w:r>
        <w:rPr>
          <w:rFonts w:hint="eastAsia" w:ascii="宋体" w:hAnsi="宋体" w:eastAsia="宋体" w:cs="宋体"/>
          <w:bCs/>
          <w:lang w:eastAsia="zh-CN"/>
        </w:rPr>
        <w:t>。</w:t>
      </w:r>
    </w:p>
    <w:p>
      <w:pPr>
        <w:numPr>
          <w:ilvl w:val="0"/>
          <w:numId w:val="13"/>
        </w:numPr>
        <w:spacing w:after="240" w:line="240" w:lineRule="exact"/>
        <w:ind w:left="567" w:hanging="567"/>
        <w:rPr>
          <w:rFonts w:eastAsia="Calibri" w:cs="Segoe UI"/>
        </w:rPr>
      </w:pPr>
      <w:r>
        <w:rPr>
          <w:rFonts w:hint="eastAsia" w:ascii="微软雅黑" w:hAnsi="微软雅黑" w:eastAsia="微软雅黑" w:cs="微软雅黑"/>
          <w:b/>
          <w:bCs/>
          <w:lang w:eastAsia="zh-CN"/>
        </w:rPr>
        <w:t>改进：</w:t>
      </w:r>
      <w:r>
        <w:rPr>
          <w:rFonts w:hint="eastAsia" w:ascii="宋体" w:hAnsi="宋体" w:eastAsia="宋体" w:cs="宋体"/>
          <w:lang w:eastAsia="zh-CN"/>
        </w:rPr>
        <w:t>台站存在但业务并不充分，可以加以改进来向国际报告数据（例如，台站的仪器损坏，没有按要求的频率报告最低数量的所需变量，或没有通过</w:t>
      </w:r>
      <w:r>
        <w:rPr>
          <w:rFonts w:hint="eastAsia" w:eastAsia="Calibri" w:cs="Segoe UI"/>
          <w:lang w:eastAsia="zh-CN"/>
        </w:rPr>
        <w:t>WIS</w:t>
      </w:r>
      <w:r>
        <w:rPr>
          <w:rFonts w:hint="eastAsia" w:ascii="宋体" w:hAnsi="宋体" w:eastAsia="宋体" w:cs="宋体"/>
          <w:lang w:eastAsia="zh-CN"/>
        </w:rPr>
        <w:t>在国际范围内交换观测数据）。</w:t>
      </w:r>
      <w:r>
        <w:rPr>
          <w:rFonts w:hint="eastAsia" w:ascii="宋体" w:hAnsi="宋体" w:eastAsia="宋体" w:cs="宋体"/>
        </w:rPr>
        <w:t>国家</w:t>
      </w:r>
      <w:r>
        <w:rPr>
          <w:rFonts w:eastAsia="宋体" w:cs="Verdana"/>
          <w:bCs/>
        </w:rPr>
        <w:t>GBON</w:t>
      </w:r>
      <w:r>
        <w:rPr>
          <w:rFonts w:hint="eastAsia" w:ascii="宋体" w:hAnsi="宋体" w:eastAsia="宋体" w:cs="宋体"/>
        </w:rPr>
        <w:t>贡献计划</w:t>
      </w:r>
      <w:r>
        <w:rPr>
          <w:rFonts w:hint="eastAsia" w:ascii="宋体" w:hAnsi="宋体" w:eastAsia="宋体" w:cs="宋体"/>
          <w:lang w:eastAsia="zh-CN"/>
        </w:rPr>
        <w:t>中</w:t>
      </w:r>
      <w:r>
        <w:rPr>
          <w:rFonts w:hint="eastAsia" w:ascii="宋体" w:hAnsi="宋体" w:eastAsia="宋体" w:cs="宋体"/>
        </w:rPr>
        <w:t>考虑了改进行动。</w:t>
      </w:r>
    </w:p>
    <w:p>
      <w:pPr>
        <w:spacing w:after="240" w:line="240" w:lineRule="exact"/>
        <w:jc w:val="center"/>
        <w:rPr>
          <w:b/>
          <w:bCs/>
          <w:lang w:eastAsia="zh-CN"/>
        </w:rPr>
      </w:pPr>
      <w:r>
        <w:rPr>
          <w:rFonts w:hint="eastAsia" w:ascii="微软雅黑" w:hAnsi="微软雅黑" w:eastAsia="微软雅黑" w:cs="微软雅黑"/>
          <w:b/>
          <w:bCs/>
          <w:lang w:val="en-US" w:eastAsia="zh-CN"/>
        </w:rPr>
        <w:t>表</w:t>
      </w:r>
      <w:r>
        <w:rPr>
          <w:b/>
          <w:bCs/>
          <w:lang w:eastAsia="zh-CN"/>
        </w:rPr>
        <w:t>5.3.</w:t>
      </w:r>
      <w:r>
        <w:rPr>
          <w:rFonts w:hint="eastAsia" w:ascii="微软雅黑" w:hAnsi="微软雅黑" w:eastAsia="微软雅黑" w:cs="微软雅黑"/>
          <w:b/>
          <w:bCs/>
          <w:lang w:eastAsia="zh-CN"/>
        </w:rPr>
        <w:t xml:space="preserve"> 根据现有台站的业务状态和观测网所有权对其进行评估</w:t>
      </w:r>
    </w:p>
    <w:tbl>
      <w:tblPr>
        <w:tblStyle w:val="33"/>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649"/>
        <w:gridCol w:w="1755"/>
        <w:gridCol w:w="1742"/>
        <w:gridCol w:w="1755"/>
        <w:gridCol w:w="175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372" w:type="pct"/>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spacing w:before="60" w:after="60"/>
              <w:jc w:val="center"/>
              <w:textAlignment w:val="baseline"/>
              <w:rPr>
                <w:rFonts w:eastAsia="Times New Roman" w:cs="Segoe UI"/>
                <w:lang w:eastAsia="en-GB"/>
              </w:rPr>
            </w:pPr>
            <w:r>
              <w:rPr>
                <w:rFonts w:eastAsia="Times New Roman" w:cs="Segoe UI"/>
                <w:lang w:eastAsia="en-GB"/>
              </w:rPr>
              <w:t>GBON</w:t>
            </w:r>
            <w:r>
              <w:rPr>
                <w:rFonts w:eastAsia="Times New Roman" w:cs="Segoe UI"/>
                <w:lang w:eastAsia="en-GB"/>
              </w:rPr>
              <w:br w:type="textWrapping"/>
            </w:r>
            <w:r>
              <w:rPr>
                <w:rFonts w:hint="eastAsia" w:ascii="宋体" w:hAnsi="宋体" w:eastAsia="宋体" w:cs="宋体"/>
                <w:lang w:eastAsia="en-US"/>
              </w:rPr>
              <w:t>要求</w:t>
            </w:r>
          </w:p>
        </w:tc>
        <w:tc>
          <w:tcPr>
            <w:tcW w:w="3628" w:type="pct"/>
            <w:gridSpan w:val="4"/>
            <w:tcBorders>
              <w:top w:val="single" w:color="000000" w:sz="6" w:space="0"/>
              <w:left w:val="single" w:color="000000" w:sz="6" w:space="0"/>
              <w:bottom w:val="single" w:color="000000" w:sz="6" w:space="0"/>
              <w:right w:val="single" w:color="000000" w:sz="6" w:space="0"/>
            </w:tcBorders>
            <w:shd w:val="clear" w:color="auto" w:fill="auto"/>
            <w:vAlign w:val="center"/>
          </w:tcPr>
          <w:p>
            <w:pPr>
              <w:spacing w:before="60" w:after="60"/>
              <w:jc w:val="center"/>
              <w:textAlignment w:val="baseline"/>
              <w:rPr>
                <w:rFonts w:eastAsia="Times New Roman" w:cs="Segoe UI"/>
                <w:lang w:eastAsia="zh-CN"/>
              </w:rPr>
            </w:pPr>
            <w:r>
              <w:rPr>
                <w:rFonts w:hint="eastAsia" w:eastAsia="宋体" w:cs="Segoe UI"/>
                <w:lang w:val="en-US" w:eastAsia="zh-CN"/>
              </w:rPr>
              <w:t>现有观测站（台站数量）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372" w:type="pct"/>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spacing w:before="60" w:after="60"/>
              <w:jc w:val="center"/>
              <w:rPr>
                <w:rFonts w:eastAsia="Times New Roman" w:cs="Segoe UI"/>
                <w:lang w:eastAsia="zh-CN"/>
              </w:rPr>
            </w:pPr>
          </w:p>
        </w:tc>
        <w:tc>
          <w:tcPr>
            <w:tcW w:w="1811" w:type="pct"/>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spacing w:before="60" w:after="60"/>
              <w:jc w:val="center"/>
              <w:textAlignment w:val="baseline"/>
              <w:rPr>
                <w:rFonts w:eastAsia="宋体" w:cs="Segoe UI"/>
                <w:lang w:val="en-US" w:eastAsia="zh-CN"/>
              </w:rPr>
            </w:pPr>
            <w:r>
              <w:rPr>
                <w:rFonts w:eastAsia="Times New Roman" w:cs="Segoe UI"/>
                <w:lang w:eastAsia="en-GB"/>
              </w:rPr>
              <w:t>NMHS</w:t>
            </w:r>
            <w:r>
              <w:rPr>
                <w:rFonts w:hint="eastAsia" w:eastAsia="宋体" w:cs="Segoe UI"/>
                <w:lang w:val="en-US" w:eastAsia="zh-CN"/>
              </w:rPr>
              <w:t>观测网</w:t>
            </w:r>
          </w:p>
        </w:tc>
        <w:tc>
          <w:tcPr>
            <w:tcW w:w="1817" w:type="pct"/>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spacing w:before="60" w:after="60"/>
              <w:jc w:val="center"/>
              <w:textAlignment w:val="baseline"/>
              <w:rPr>
                <w:rFonts w:eastAsia="Times New Roman" w:cs="Segoe UI"/>
                <w:lang w:eastAsia="en-GB"/>
              </w:rPr>
            </w:pPr>
            <w:r>
              <w:rPr>
                <w:rFonts w:hint="eastAsia" w:eastAsia="宋体" w:cs="Segoe UI"/>
                <w:lang w:val="en-US" w:eastAsia="en-GB"/>
              </w:rPr>
              <w:t>第三方</w:t>
            </w:r>
            <w:r>
              <w:rPr>
                <w:rFonts w:hint="eastAsia" w:eastAsia="宋体" w:cs="Segoe UI"/>
                <w:lang w:val="en-US" w:eastAsia="zh-CN"/>
              </w:rPr>
              <w:t>观测网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372" w:type="pct"/>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spacing w:before="60" w:after="60"/>
              <w:jc w:val="center"/>
              <w:rPr>
                <w:rFonts w:eastAsia="Times New Roman" w:cs="Segoe UI"/>
                <w:lang w:eastAsia="en-GB"/>
              </w:rPr>
            </w:pPr>
          </w:p>
        </w:tc>
        <w:tc>
          <w:tcPr>
            <w:tcW w:w="909" w:type="pct"/>
            <w:tcBorders>
              <w:top w:val="single" w:color="000000" w:sz="6" w:space="0"/>
              <w:left w:val="single" w:color="000000" w:sz="6" w:space="0"/>
              <w:bottom w:val="single" w:color="000000" w:sz="6" w:space="0"/>
              <w:right w:val="single" w:color="000000" w:sz="6" w:space="0"/>
            </w:tcBorders>
            <w:shd w:val="clear" w:color="auto" w:fill="auto"/>
            <w:vAlign w:val="center"/>
          </w:tcPr>
          <w:p>
            <w:pPr>
              <w:spacing w:before="60" w:after="60"/>
              <w:jc w:val="center"/>
              <w:textAlignment w:val="baseline"/>
              <w:rPr>
                <w:rFonts w:eastAsia="Times New Roman" w:cs="Segoe UI"/>
                <w:lang w:eastAsia="en-GB"/>
              </w:rPr>
            </w:pPr>
            <w:r>
              <w:rPr>
                <w:rFonts w:hint="eastAsia" w:ascii="宋体" w:hAnsi="宋体" w:eastAsia="宋体" w:cs="宋体"/>
                <w:smallCaps/>
                <w:lang w:eastAsia="en-US"/>
              </w:rPr>
              <w:t>报告</w:t>
            </w:r>
          </w:p>
        </w:tc>
        <w:tc>
          <w:tcPr>
            <w:tcW w:w="902" w:type="pct"/>
            <w:tcBorders>
              <w:top w:val="single" w:color="000000" w:sz="6" w:space="0"/>
              <w:left w:val="single" w:color="000000" w:sz="6" w:space="0"/>
              <w:bottom w:val="single" w:color="000000" w:sz="6" w:space="0"/>
              <w:right w:val="single" w:color="000000" w:sz="6" w:space="0"/>
            </w:tcBorders>
            <w:shd w:val="clear" w:color="auto" w:fill="auto"/>
            <w:vAlign w:val="center"/>
          </w:tcPr>
          <w:p>
            <w:pPr>
              <w:spacing w:before="60" w:after="60"/>
              <w:jc w:val="center"/>
              <w:textAlignment w:val="baseline"/>
              <w:rPr>
                <w:rFonts w:eastAsia="宋体" w:cs="Segoe UI"/>
                <w:lang w:eastAsia="zh-CN"/>
              </w:rPr>
            </w:pPr>
            <w:r>
              <w:rPr>
                <w:rFonts w:hint="eastAsia" w:eastAsia="宋体" w:cs="Segoe UI"/>
                <w:lang w:val="en-US" w:eastAsia="zh-CN"/>
              </w:rPr>
              <w:t>改进</w:t>
            </w:r>
          </w:p>
        </w:tc>
        <w:tc>
          <w:tcPr>
            <w:tcW w:w="909" w:type="pct"/>
            <w:tcBorders>
              <w:top w:val="single" w:color="000000" w:sz="6" w:space="0"/>
              <w:left w:val="single" w:color="000000" w:sz="6" w:space="0"/>
              <w:bottom w:val="single" w:color="000000" w:sz="6" w:space="0"/>
              <w:right w:val="single" w:color="000000" w:sz="6" w:space="0"/>
            </w:tcBorders>
            <w:shd w:val="clear" w:color="auto" w:fill="auto"/>
            <w:vAlign w:val="center"/>
          </w:tcPr>
          <w:p>
            <w:pPr>
              <w:spacing w:before="60" w:after="60"/>
              <w:jc w:val="center"/>
              <w:textAlignment w:val="baseline"/>
              <w:rPr>
                <w:rFonts w:eastAsia="Times New Roman" w:cs="Segoe UI"/>
                <w:lang w:eastAsia="en-GB"/>
              </w:rPr>
            </w:pPr>
            <w:r>
              <w:rPr>
                <w:rFonts w:hint="eastAsia" w:ascii="宋体" w:hAnsi="宋体" w:eastAsia="宋体" w:cs="宋体"/>
                <w:smallCaps/>
                <w:lang w:eastAsia="en-US"/>
              </w:rPr>
              <w:t>报告</w:t>
            </w:r>
          </w:p>
        </w:tc>
        <w:tc>
          <w:tcPr>
            <w:tcW w:w="908" w:type="pct"/>
            <w:tcBorders>
              <w:top w:val="single" w:color="000000" w:sz="6" w:space="0"/>
              <w:left w:val="single" w:color="000000" w:sz="6" w:space="0"/>
              <w:bottom w:val="single" w:color="000000" w:sz="6" w:space="0"/>
              <w:right w:val="single" w:color="000000" w:sz="6" w:space="0"/>
            </w:tcBorders>
            <w:shd w:val="clear" w:color="auto" w:fill="auto"/>
            <w:vAlign w:val="center"/>
          </w:tcPr>
          <w:p>
            <w:pPr>
              <w:spacing w:before="60" w:after="60"/>
              <w:jc w:val="center"/>
              <w:textAlignment w:val="baseline"/>
              <w:rPr>
                <w:rFonts w:eastAsia="Times New Roman" w:cs="Segoe UI"/>
                <w:lang w:eastAsia="en-GB"/>
              </w:rPr>
            </w:pPr>
            <w:r>
              <w:rPr>
                <w:rFonts w:hint="eastAsia" w:eastAsia="宋体" w:cs="Segoe UI"/>
                <w:lang w:val="en-US" w:eastAsia="zh-CN"/>
              </w:rPr>
              <w:t>改进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8" w:hRule="atLeast"/>
        </w:trPr>
        <w:tc>
          <w:tcPr>
            <w:tcW w:w="2649"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keepLines/>
              <w:spacing w:before="60" w:after="60"/>
              <w:rPr>
                <w:rFonts w:ascii="宋体" w:hAnsi="宋体" w:eastAsia="宋体" w:cs="宋体"/>
                <w:smallCaps/>
                <w:lang w:eastAsia="en-US"/>
              </w:rPr>
            </w:pPr>
            <w:r>
              <w:rPr>
                <w:rFonts w:hint="eastAsia" w:ascii="宋体" w:hAnsi="宋体" w:eastAsia="宋体" w:cs="宋体"/>
                <w:smallCaps/>
                <w:lang w:eastAsia="en-US"/>
              </w:rPr>
              <w:t>地面站</w:t>
            </w:r>
          </w:p>
          <w:p>
            <w:pPr>
              <w:keepNext/>
              <w:keepLines/>
              <w:spacing w:before="60" w:after="60"/>
              <w:rPr>
                <w:rFonts w:eastAsia="Times New Roman" w:cs="Segoe UI"/>
                <w:lang w:eastAsia="en-GB"/>
              </w:rPr>
            </w:pPr>
            <w:r>
              <w:rPr>
                <w:rFonts w:hint="eastAsia" w:ascii="宋体" w:hAnsi="宋体" w:eastAsia="宋体" w:cs="宋体"/>
                <w:smallCaps/>
                <w:lang w:eastAsia="en-US"/>
              </w:rPr>
              <w:t>标准密度，</w:t>
            </w:r>
            <w:r>
              <w:rPr>
                <w:rFonts w:hint="eastAsia" w:eastAsia="Calibri"/>
                <w:smallCaps/>
                <w:lang w:eastAsia="en-US"/>
              </w:rPr>
              <w:t xml:space="preserve">200 </w:t>
            </w:r>
            <w:r>
              <w:rPr>
                <w:lang w:eastAsia="en-US"/>
              </w:rPr>
              <w:t>km</w:t>
            </w:r>
          </w:p>
        </w:tc>
        <w:tc>
          <w:tcPr>
            <w:tcW w:w="909"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lang w:eastAsia="en-GB"/>
              </w:rPr>
            </w:pPr>
            <w:r>
              <w:rPr>
                <w:rFonts w:eastAsia="Times New Roman" w:cs="Segoe UI"/>
                <w:lang w:eastAsia="en-GB"/>
              </w:rPr>
              <w:t> </w:t>
            </w:r>
          </w:p>
        </w:tc>
        <w:tc>
          <w:tcPr>
            <w:tcW w:w="902"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r>
              <w:rPr>
                <w:rFonts w:eastAsia="Times New Roman" w:cs="Segoe UI"/>
                <w:lang w:eastAsia="en-GB"/>
              </w:rPr>
              <w:t> </w:t>
            </w:r>
          </w:p>
        </w:tc>
        <w:tc>
          <w:tcPr>
            <w:tcW w:w="909"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r>
              <w:rPr>
                <w:rFonts w:eastAsia="Times New Roman" w:cs="Segoe UI"/>
                <w:lang w:eastAsia="en-GB"/>
              </w:rPr>
              <w:t> </w:t>
            </w:r>
          </w:p>
        </w:tc>
        <w:tc>
          <w:tcPr>
            <w:tcW w:w="908"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r>
              <w:rPr>
                <w:rFonts w:eastAsia="Times New Roman" w:cs="Segoe UI"/>
                <w:lang w:eastAsia="en-GB"/>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2" w:hRule="atLeast"/>
        </w:trPr>
        <w:tc>
          <w:tcPr>
            <w:tcW w:w="2649"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keepLines/>
              <w:spacing w:before="60" w:after="60"/>
              <w:rPr>
                <w:rFonts w:ascii="宋体" w:hAnsi="宋体" w:eastAsia="宋体" w:cs="宋体"/>
                <w:smallCaps/>
                <w:lang w:eastAsia="en-US"/>
              </w:rPr>
            </w:pPr>
            <w:r>
              <w:rPr>
                <w:rFonts w:hint="eastAsia" w:ascii="宋体" w:hAnsi="宋体" w:eastAsia="宋体" w:cs="宋体"/>
                <w:smallCaps/>
                <w:lang w:eastAsia="en-US"/>
              </w:rPr>
              <w:t>地面站</w:t>
            </w:r>
          </w:p>
          <w:p>
            <w:pPr>
              <w:keepNext/>
              <w:keepLines/>
              <w:spacing w:before="60" w:after="60"/>
              <w:rPr>
                <w:rFonts w:eastAsia="Times New Roman" w:cs="Segoe UI"/>
                <w:lang w:eastAsia="en-GB"/>
              </w:rPr>
            </w:pPr>
            <w:r>
              <w:rPr>
                <w:rFonts w:hint="eastAsia" w:ascii="宋体" w:hAnsi="宋体" w:eastAsia="宋体" w:cs="宋体"/>
                <w:smallCaps/>
                <w:lang w:eastAsia="en-US"/>
              </w:rPr>
              <w:t>高密度</w:t>
            </w:r>
            <w:r>
              <w:rPr>
                <w:rFonts w:hint="eastAsia" w:ascii="宋体" w:hAnsi="宋体" w:eastAsia="宋体" w:cs="宋体"/>
                <w:smallCaps/>
                <w:lang w:eastAsia="zh-CN"/>
              </w:rPr>
              <w:t>，</w:t>
            </w:r>
            <w:r>
              <w:rPr>
                <w:rFonts w:eastAsia="Calibri"/>
                <w:smallCaps/>
                <w:lang w:eastAsia="en-US"/>
              </w:rPr>
              <w:t>100 </w:t>
            </w:r>
            <w:r>
              <w:rPr>
                <w:lang w:eastAsia="en-US"/>
              </w:rPr>
              <w:t>km</w:t>
            </w:r>
          </w:p>
        </w:tc>
        <w:tc>
          <w:tcPr>
            <w:tcW w:w="909"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r>
              <w:rPr>
                <w:rFonts w:eastAsia="Times New Roman" w:cs="Segoe UI"/>
                <w:lang w:eastAsia="en-GB"/>
              </w:rPr>
              <w:t> </w:t>
            </w:r>
          </w:p>
        </w:tc>
        <w:tc>
          <w:tcPr>
            <w:tcW w:w="902"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r>
              <w:rPr>
                <w:rFonts w:eastAsia="Times New Roman" w:cs="Segoe UI"/>
                <w:lang w:eastAsia="en-GB"/>
              </w:rPr>
              <w:t> </w:t>
            </w:r>
          </w:p>
        </w:tc>
        <w:tc>
          <w:tcPr>
            <w:tcW w:w="909"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r>
              <w:rPr>
                <w:rFonts w:eastAsia="Times New Roman" w:cs="Segoe UI"/>
                <w:lang w:eastAsia="en-GB"/>
              </w:rPr>
              <w:t> </w:t>
            </w:r>
          </w:p>
        </w:tc>
        <w:tc>
          <w:tcPr>
            <w:tcW w:w="908"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r>
              <w:rPr>
                <w:rFonts w:eastAsia="Times New Roman" w:cs="Segoe UI"/>
                <w:lang w:eastAsia="en-GB"/>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8" w:hRule="atLeast"/>
        </w:trPr>
        <w:tc>
          <w:tcPr>
            <w:tcW w:w="2649"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keepLines/>
              <w:spacing w:before="60" w:after="60"/>
              <w:rPr>
                <w:rFonts w:eastAsia="Times New Roman" w:cs="Segoe UI"/>
                <w:lang w:eastAsia="zh-CN"/>
              </w:rPr>
            </w:pPr>
            <w:r>
              <w:rPr>
                <w:rFonts w:hint="eastAsia" w:ascii="宋体" w:hAnsi="宋体" w:eastAsia="宋体" w:cs="宋体"/>
                <w:smallCaps/>
                <w:lang w:eastAsia="zh-CN"/>
              </w:rPr>
              <w:t>高空陆地站，标准密度</w:t>
            </w:r>
            <w:r>
              <w:rPr>
                <w:rFonts w:eastAsia="Calibri"/>
                <w:smallCaps/>
                <w:lang w:eastAsia="zh-CN"/>
              </w:rPr>
              <w:t>500 </w:t>
            </w:r>
            <w:r>
              <w:rPr>
                <w:lang w:eastAsia="zh-CN"/>
              </w:rPr>
              <w:t>km</w:t>
            </w:r>
          </w:p>
        </w:tc>
        <w:tc>
          <w:tcPr>
            <w:tcW w:w="909"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zh-CN"/>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zh-CN"/>
              </w:rPr>
            </w:pPr>
          </w:p>
        </w:tc>
        <w:tc>
          <w:tcPr>
            <w:tcW w:w="909"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zh-CN"/>
              </w:rPr>
            </w:pPr>
          </w:p>
        </w:tc>
        <w:tc>
          <w:tcPr>
            <w:tcW w:w="908"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zh-CN"/>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8" w:hRule="atLeast"/>
        </w:trPr>
        <w:tc>
          <w:tcPr>
            <w:tcW w:w="2649"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keepLines/>
              <w:spacing w:before="60" w:after="60"/>
              <w:rPr>
                <w:rFonts w:ascii="宋体" w:hAnsi="宋体" w:eastAsia="宋体" w:cs="宋体"/>
                <w:smallCaps/>
                <w:color w:val="auto"/>
                <w:lang w:eastAsia="en-US"/>
              </w:rPr>
            </w:pPr>
            <w:r>
              <w:rPr>
                <w:rFonts w:hint="eastAsia" w:ascii="宋体" w:hAnsi="宋体" w:eastAsia="宋体" w:cs="宋体"/>
                <w:smallCaps/>
                <w:color w:val="auto"/>
                <w:lang w:eastAsia="en-US"/>
              </w:rPr>
              <w:t>高空陆地站，高密度</w:t>
            </w:r>
          </w:p>
          <w:p>
            <w:pPr>
              <w:keepNext/>
              <w:keepLines/>
              <w:spacing w:before="60" w:after="60"/>
            </w:pPr>
            <w:r>
              <w:rPr>
                <w:rFonts w:eastAsia="Calibri"/>
                <w:smallCaps/>
                <w:color w:val="auto"/>
                <w:lang w:eastAsia="en-US"/>
              </w:rPr>
              <w:t>200</w:t>
            </w:r>
            <w:r>
              <w:rPr>
                <w:rFonts w:eastAsia="Calibri"/>
                <w:smallCaps/>
                <w:lang w:eastAsia="en-US"/>
              </w:rPr>
              <w:t> </w:t>
            </w:r>
            <w:r>
              <w:rPr>
                <w:lang w:eastAsia="en-US"/>
              </w:rPr>
              <w:t>km</w:t>
            </w:r>
          </w:p>
        </w:tc>
        <w:tc>
          <w:tcPr>
            <w:tcW w:w="909"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p>
        </w:tc>
        <w:tc>
          <w:tcPr>
            <w:tcW w:w="909"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p>
        </w:tc>
        <w:tc>
          <w:tcPr>
            <w:tcW w:w="908"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6" w:hRule="atLeast"/>
        </w:trPr>
        <w:tc>
          <w:tcPr>
            <w:tcW w:w="2649"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keepLines/>
              <w:spacing w:before="60" w:after="60"/>
            </w:pPr>
            <w:r>
              <w:rPr>
                <w:rFonts w:hint="eastAsia" w:ascii="宋体" w:hAnsi="宋体" w:eastAsia="宋体" w:cs="宋体"/>
                <w:lang w:eastAsia="en-US"/>
              </w:rPr>
              <w:t>高空海洋站</w:t>
            </w:r>
            <w:r>
              <w:rPr>
                <w:rFonts w:hint="eastAsia" w:ascii="宋体" w:hAnsi="宋体" w:eastAsia="宋体" w:cs="宋体"/>
                <w:lang w:eastAsia="zh-CN"/>
              </w:rPr>
              <w:t xml:space="preserve"> </w:t>
            </w:r>
            <w:r>
              <w:rPr>
                <w:lang w:eastAsia="en-US"/>
              </w:rPr>
              <w:t>1000 km</w:t>
            </w:r>
          </w:p>
        </w:tc>
        <w:tc>
          <w:tcPr>
            <w:tcW w:w="909"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p>
        </w:tc>
        <w:tc>
          <w:tcPr>
            <w:tcW w:w="909"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p>
        </w:tc>
        <w:tc>
          <w:tcPr>
            <w:tcW w:w="908"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07" w:hRule="atLeast"/>
        </w:trPr>
        <w:tc>
          <w:tcPr>
            <w:tcW w:w="2649"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keepLines/>
              <w:spacing w:before="60" w:after="60"/>
              <w:rPr>
                <w:rFonts w:eastAsia="Times New Roman" w:cs="Segoe UI"/>
                <w:lang w:eastAsia="en-GB"/>
              </w:rPr>
            </w:pPr>
            <w:r>
              <w:rPr>
                <w:rFonts w:hint="eastAsia" w:ascii="宋体" w:hAnsi="宋体" w:eastAsia="宋体" w:cs="宋体"/>
                <w:smallCaps/>
                <w:lang w:eastAsia="en-US"/>
              </w:rPr>
              <w:t>海面</w:t>
            </w:r>
            <w:r>
              <w:rPr>
                <w:rFonts w:hint="eastAsia" w:ascii="宋体" w:hAnsi="宋体" w:eastAsia="宋体" w:cs="宋体"/>
                <w:smallCaps/>
                <w:lang w:eastAsia="zh-CN"/>
              </w:rPr>
              <w:t>观测</w:t>
            </w:r>
            <w:r>
              <w:rPr>
                <w:rFonts w:hint="eastAsia" w:ascii="宋体" w:hAnsi="宋体" w:eastAsia="宋体" w:cs="宋体"/>
                <w:smallCaps/>
                <w:lang w:eastAsia="en-US"/>
              </w:rPr>
              <w:t>站</w:t>
            </w:r>
            <w:r>
              <w:rPr>
                <w:rFonts w:hint="eastAsia" w:ascii="宋体" w:hAnsi="宋体" w:eastAsia="宋体" w:cs="宋体"/>
                <w:smallCaps/>
                <w:lang w:eastAsia="zh-CN"/>
              </w:rPr>
              <w:t xml:space="preserve"> </w:t>
            </w:r>
            <w:r>
              <w:rPr>
                <w:rFonts w:eastAsia="Calibri"/>
                <w:smallCaps/>
                <w:lang w:eastAsia="en-US"/>
              </w:rPr>
              <w:t>500 </w:t>
            </w:r>
            <w:r>
              <w:rPr>
                <w:lang w:eastAsia="en-US"/>
              </w:rPr>
              <w:t>km</w:t>
            </w:r>
          </w:p>
        </w:tc>
        <w:tc>
          <w:tcPr>
            <w:tcW w:w="909"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p>
        </w:tc>
        <w:tc>
          <w:tcPr>
            <w:tcW w:w="909"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p>
        </w:tc>
        <w:tc>
          <w:tcPr>
            <w:tcW w:w="908" w:type="pct"/>
            <w:tcBorders>
              <w:top w:val="single" w:color="000000" w:sz="6" w:space="0"/>
              <w:left w:val="single" w:color="000000" w:sz="6" w:space="0"/>
              <w:bottom w:val="single" w:color="000000" w:sz="6" w:space="0"/>
              <w:right w:val="single" w:color="000000" w:sz="6" w:space="0"/>
            </w:tcBorders>
            <w:shd w:val="clear" w:color="auto" w:fill="auto"/>
          </w:tcPr>
          <w:p>
            <w:pPr>
              <w:spacing w:before="60" w:after="60"/>
              <w:jc w:val="center"/>
              <w:textAlignment w:val="baseline"/>
              <w:rPr>
                <w:rFonts w:eastAsia="Times New Roman" w:cs="Segoe UI"/>
                <w:lang w:eastAsia="en-GB"/>
              </w:rPr>
            </w:pPr>
          </w:p>
        </w:tc>
      </w:tr>
    </w:tbl>
    <w:p>
      <w:pPr>
        <w:spacing w:before="120" w:after="120"/>
        <w:jc w:val="center"/>
        <w:rPr>
          <w:rFonts w:ascii="宋体" w:hAnsi="宋体" w:eastAsia="宋体" w:cs="宋体"/>
          <w:i/>
          <w:iCs/>
          <w:lang w:eastAsia="zh-CN"/>
        </w:rPr>
      </w:pPr>
      <w:r>
        <w:rPr>
          <w:rFonts w:hint="eastAsia" w:ascii="宋体" w:hAnsi="宋体" w:eastAsia="宋体" w:cs="宋体"/>
          <w:i/>
          <w:iCs/>
          <w:lang w:eastAsia="zh-CN"/>
        </w:rPr>
        <w:t>***现有地面和高空观测网地图占位符***</w:t>
      </w:r>
    </w:p>
    <w:p>
      <w:pPr>
        <w:spacing w:after="240" w:line="240" w:lineRule="exact"/>
        <w:rPr>
          <w:rFonts w:ascii="宋体" w:hAnsi="宋体" w:eastAsia="宋体" w:cs="宋体"/>
          <w:lang w:eastAsia="zh-CN"/>
        </w:rPr>
      </w:pPr>
      <w:r>
        <w:rPr>
          <w:rFonts w:hint="eastAsia" w:ascii="宋体" w:hAnsi="宋体" w:eastAsia="宋体" w:cs="宋体"/>
          <w:lang w:eastAsia="zh-CN"/>
        </w:rPr>
        <w:t>其次，根据</w:t>
      </w:r>
      <w:r>
        <w:rPr>
          <w:rFonts w:eastAsia="宋体" w:cs="Verdana"/>
          <w:lang w:eastAsia="zh-CN"/>
        </w:rPr>
        <w:t>GBON</w:t>
      </w:r>
      <w:r>
        <w:rPr>
          <w:rFonts w:hint="eastAsia" w:ascii="宋体" w:hAnsi="宋体" w:eastAsia="宋体" w:cs="宋体"/>
          <w:lang w:eastAsia="zh-CN"/>
        </w:rPr>
        <w:t>变量和国际报告周期要求分析了现有台站的状况（第</w:t>
      </w:r>
      <w:r>
        <w:rPr>
          <w:rFonts w:eastAsia="宋体" w:cs="Verdana"/>
          <w:lang w:eastAsia="zh-CN"/>
        </w:rPr>
        <w:t>2.1</w:t>
      </w:r>
      <w:r>
        <w:rPr>
          <w:rFonts w:hint="eastAsia" w:eastAsia="宋体" w:cs="Verdana"/>
          <w:lang w:eastAsia="zh-CN"/>
        </w:rPr>
        <w:t>节</w:t>
      </w:r>
      <w:r>
        <w:rPr>
          <w:rFonts w:hint="eastAsia" w:ascii="宋体" w:hAnsi="宋体" w:eastAsia="宋体" w:cs="宋体"/>
          <w:lang w:eastAsia="zh-CN"/>
        </w:rPr>
        <w:t>中的表</w:t>
      </w:r>
      <w:r>
        <w:rPr>
          <w:rFonts w:eastAsia="宋体" w:cs="Verdana"/>
          <w:lang w:eastAsia="zh-CN"/>
        </w:rPr>
        <w:t>2.1</w:t>
      </w:r>
      <w:r>
        <w:rPr>
          <w:rFonts w:hint="eastAsia" w:ascii="宋体" w:hAnsi="宋体" w:eastAsia="宋体" w:cs="宋体"/>
          <w:lang w:eastAsia="zh-CN"/>
        </w:rPr>
        <w:t>）。报告周期是按地面和海洋台站每小时一次的报告频率和高空台站一天两次的报告频率评估的。</w:t>
      </w:r>
    </w:p>
    <w:p>
      <w:pPr>
        <w:keepNext/>
        <w:keepLines/>
        <w:spacing w:after="240" w:line="240" w:lineRule="exact"/>
        <w:jc w:val="center"/>
        <w:rPr>
          <w:b/>
          <w:bCs/>
          <w:lang w:eastAsia="zh-CN"/>
        </w:rPr>
      </w:pPr>
      <w:r>
        <w:rPr>
          <w:rFonts w:hint="eastAsia" w:ascii="微软雅黑" w:hAnsi="微软雅黑" w:eastAsia="微软雅黑" w:cs="微软雅黑"/>
          <w:b/>
          <w:bCs/>
          <w:lang w:val="en-US" w:eastAsia="zh-CN"/>
        </w:rPr>
        <w:t>表</w:t>
      </w:r>
      <w:r>
        <w:rPr>
          <w:b/>
          <w:bCs/>
          <w:lang w:eastAsia="zh-CN"/>
        </w:rPr>
        <w:t xml:space="preserve">5.4. </w:t>
      </w:r>
      <w:r>
        <w:rPr>
          <w:rFonts w:hint="eastAsia" w:ascii="微软雅黑" w:hAnsi="微软雅黑" w:eastAsia="微软雅黑" w:cs="微软雅黑"/>
          <w:b/>
          <w:bCs/>
          <w:lang w:eastAsia="zh-CN"/>
        </w:rPr>
        <w:t>根据变量和报告周期评估现有</w:t>
      </w:r>
      <w:r>
        <w:rPr>
          <w:rFonts w:eastAsia="微软雅黑" w:cs="Verdana"/>
          <w:b/>
          <w:bCs/>
          <w:lang w:eastAsia="zh-CN"/>
        </w:rPr>
        <w:t>GBON</w:t>
      </w:r>
      <w:r>
        <w:rPr>
          <w:rFonts w:hint="eastAsia" w:ascii="微软雅黑" w:hAnsi="微软雅黑" w:eastAsia="微软雅黑" w:cs="微软雅黑"/>
          <w:b/>
          <w:bCs/>
          <w:lang w:eastAsia="zh-CN"/>
        </w:rPr>
        <w:t>台站</w:t>
      </w:r>
    </w:p>
    <w:tbl>
      <w:tblPr>
        <w:tblStyle w:val="36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1"/>
        <w:gridCol w:w="1387"/>
        <w:gridCol w:w="1307"/>
        <w:gridCol w:w="585"/>
        <w:gridCol w:w="352"/>
        <w:gridCol w:w="367"/>
        <w:gridCol w:w="414"/>
        <w:gridCol w:w="344"/>
        <w:gridCol w:w="507"/>
        <w:gridCol w:w="1413"/>
        <w:gridCol w:w="1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trPr>
        <w:tc>
          <w:tcPr>
            <w:tcW w:w="817" w:type="pct"/>
            <w:vMerge w:val="restart"/>
            <w:tcBorders>
              <w:top w:val="single" w:color="BFBFBF" w:sz="8" w:space="0"/>
              <w:left w:val="single" w:color="BFBFBF" w:sz="8" w:space="0"/>
              <w:bottom w:val="single" w:color="BFBFBF" w:sz="8" w:space="0"/>
              <w:right w:val="single" w:color="BFBFBF" w:sz="8" w:space="0"/>
            </w:tcBorders>
            <w:shd w:val="clear" w:color="auto" w:fill="auto"/>
            <w:vAlign w:val="center"/>
          </w:tcPr>
          <w:p>
            <w:pPr>
              <w:keepNext/>
              <w:keepLines/>
              <w:spacing w:before="60" w:after="60"/>
              <w:jc w:val="center"/>
              <w:rPr>
                <w:sz w:val="20"/>
                <w:szCs w:val="20"/>
                <w:lang w:eastAsia="en-US"/>
              </w:rPr>
            </w:pPr>
            <w:r>
              <w:rPr>
                <w:rFonts w:hint="eastAsia" w:ascii="宋体" w:hAnsi="宋体" w:eastAsia="宋体" w:cs="宋体"/>
                <w:sz w:val="20"/>
                <w:szCs w:val="20"/>
                <w:lang w:eastAsia="en-US"/>
              </w:rPr>
              <w:t>台站名称</w:t>
            </w:r>
          </w:p>
        </w:tc>
        <w:tc>
          <w:tcPr>
            <w:tcW w:w="607" w:type="pct"/>
            <w:vMerge w:val="restart"/>
            <w:tcBorders>
              <w:top w:val="single" w:color="BFBFBF" w:sz="8" w:space="0"/>
              <w:left w:val="single" w:color="BFBFBF" w:sz="8" w:space="0"/>
              <w:bottom w:val="single" w:color="BFBFBF" w:sz="8" w:space="0"/>
              <w:right w:val="single" w:color="BFBFBF" w:sz="8" w:space="0"/>
            </w:tcBorders>
            <w:shd w:val="clear" w:color="auto" w:fill="auto"/>
            <w:vAlign w:val="center"/>
          </w:tcPr>
          <w:p>
            <w:pPr>
              <w:keepNext/>
              <w:keepLines/>
              <w:spacing w:before="60" w:after="60"/>
              <w:jc w:val="center"/>
              <w:rPr>
                <w:sz w:val="20"/>
                <w:szCs w:val="20"/>
                <w:lang w:eastAsia="en-US"/>
              </w:rPr>
            </w:pPr>
            <w:r>
              <w:rPr>
                <w:rFonts w:hint="eastAsia" w:ascii="宋体" w:hAnsi="宋体" w:eastAsia="宋体" w:cs="宋体"/>
                <w:sz w:val="20"/>
                <w:szCs w:val="20"/>
                <w:lang w:eastAsia="en-US"/>
              </w:rPr>
              <w:t>台站类型（</w:t>
            </w:r>
            <w:r>
              <w:rPr>
                <w:rFonts w:hint="eastAsia"/>
                <w:sz w:val="20"/>
                <w:szCs w:val="20"/>
                <w:lang w:eastAsia="en-US"/>
              </w:rPr>
              <w:t>S/UA/M</w:t>
            </w:r>
            <w:r>
              <w:rPr>
                <w:rFonts w:hint="eastAsia" w:ascii="宋体" w:hAnsi="宋体" w:eastAsia="宋体" w:cs="宋体"/>
                <w:sz w:val="20"/>
                <w:szCs w:val="20"/>
                <w:lang w:eastAsia="en-US"/>
              </w:rPr>
              <w:t>）</w:t>
            </w:r>
          </w:p>
        </w:tc>
        <w:tc>
          <w:tcPr>
            <w:tcW w:w="673" w:type="pct"/>
            <w:vMerge w:val="restart"/>
            <w:tcBorders>
              <w:top w:val="single" w:color="BFBFBF" w:sz="8" w:space="0"/>
              <w:left w:val="single" w:color="BFBFBF" w:sz="8" w:space="0"/>
              <w:right w:val="single" w:color="BFBFBF" w:sz="8" w:space="0"/>
            </w:tcBorders>
            <w:shd w:val="clear" w:color="auto" w:fill="auto"/>
            <w:vAlign w:val="center"/>
          </w:tcPr>
          <w:p>
            <w:pPr>
              <w:keepNext/>
              <w:keepLines/>
              <w:spacing w:before="60" w:after="60"/>
              <w:ind w:left="-162" w:right="-33"/>
              <w:jc w:val="center"/>
              <w:rPr>
                <w:rFonts w:ascii="宋体" w:hAnsi="宋体" w:eastAsia="宋体" w:cs="宋体"/>
                <w:sz w:val="20"/>
                <w:szCs w:val="20"/>
                <w:lang w:eastAsia="en-US"/>
              </w:rPr>
            </w:pPr>
            <w:r>
              <w:rPr>
                <w:rFonts w:hint="eastAsia" w:ascii="宋体" w:hAnsi="宋体" w:eastAsia="宋体" w:cs="宋体"/>
                <w:sz w:val="20"/>
                <w:szCs w:val="20"/>
                <w:lang w:eastAsia="en-US"/>
              </w:rPr>
              <w:t>所有者（</w:t>
            </w:r>
            <w:r>
              <w:rPr>
                <w:rFonts w:eastAsia="宋体" w:cs="Verdana"/>
                <w:sz w:val="20"/>
                <w:szCs w:val="20"/>
                <w:lang w:eastAsia="en-US"/>
              </w:rPr>
              <w:t>NMHS</w:t>
            </w:r>
            <w:r>
              <w:rPr>
                <w:rFonts w:hint="eastAsia" w:ascii="宋体" w:hAnsi="宋体" w:eastAsia="宋体" w:cs="宋体"/>
                <w:sz w:val="20"/>
                <w:szCs w:val="20"/>
                <w:lang w:eastAsia="en-US"/>
              </w:rPr>
              <w:t>/第三方）</w:t>
            </w:r>
          </w:p>
        </w:tc>
        <w:tc>
          <w:tcPr>
            <w:tcW w:w="1359" w:type="pct"/>
            <w:gridSpan w:val="6"/>
            <w:tcBorders>
              <w:top w:val="single" w:color="BFBFBF" w:sz="8" w:space="0"/>
              <w:left w:val="single" w:color="BFBFBF" w:sz="8" w:space="0"/>
              <w:bottom w:val="single" w:color="BFBFBF" w:sz="8" w:space="0"/>
              <w:right w:val="single" w:color="BFBFBF" w:sz="8" w:space="0"/>
            </w:tcBorders>
            <w:shd w:val="clear" w:color="auto" w:fill="auto"/>
            <w:vAlign w:val="center"/>
          </w:tcPr>
          <w:p>
            <w:pPr>
              <w:keepNext/>
              <w:keepLines/>
              <w:spacing w:before="60" w:after="60"/>
              <w:jc w:val="center"/>
              <w:rPr>
                <w:sz w:val="20"/>
                <w:szCs w:val="20"/>
                <w:lang w:eastAsia="en-US"/>
              </w:rPr>
            </w:pPr>
            <w:r>
              <w:rPr>
                <w:sz w:val="20"/>
                <w:szCs w:val="20"/>
                <w:lang w:eastAsia="en-US"/>
              </w:rPr>
              <w:t>GBON</w:t>
            </w:r>
            <w:r>
              <w:rPr>
                <w:rFonts w:hint="eastAsia" w:ascii="宋体" w:hAnsi="宋体" w:eastAsia="宋体" w:cs="宋体"/>
                <w:sz w:val="20"/>
                <w:szCs w:val="20"/>
                <w:lang w:eastAsia="en-US"/>
              </w:rPr>
              <w:t>变量实测值</w:t>
            </w:r>
          </w:p>
        </w:tc>
        <w:tc>
          <w:tcPr>
            <w:tcW w:w="729" w:type="pct"/>
            <w:vMerge w:val="restart"/>
            <w:tcBorders>
              <w:top w:val="single" w:color="BFBFBF" w:sz="8" w:space="0"/>
              <w:left w:val="single" w:color="BFBFBF" w:sz="8" w:space="0"/>
              <w:right w:val="single" w:color="BFBFBF" w:sz="8" w:space="0"/>
            </w:tcBorders>
            <w:shd w:val="clear" w:color="auto" w:fill="auto"/>
            <w:vAlign w:val="center"/>
          </w:tcPr>
          <w:p>
            <w:pPr>
              <w:keepNext/>
              <w:keepLines/>
              <w:spacing w:before="60" w:after="60"/>
              <w:jc w:val="center"/>
              <w:rPr>
                <w:sz w:val="20"/>
                <w:szCs w:val="20"/>
                <w:lang w:eastAsia="en-US"/>
              </w:rPr>
            </w:pPr>
            <w:r>
              <w:rPr>
                <w:rFonts w:hint="eastAsia" w:ascii="宋体" w:hAnsi="宋体" w:eastAsia="宋体" w:cs="宋体"/>
                <w:sz w:val="20"/>
                <w:szCs w:val="20"/>
                <w:lang w:eastAsia="en-US"/>
              </w:rPr>
              <w:t>报告周期</w:t>
            </w:r>
          </w:p>
        </w:tc>
        <w:tc>
          <w:tcPr>
            <w:tcW w:w="816" w:type="pct"/>
            <w:vMerge w:val="restart"/>
            <w:tcBorders>
              <w:top w:val="single" w:color="BFBFBF" w:sz="8" w:space="0"/>
              <w:left w:val="single" w:color="BFBFBF" w:sz="8" w:space="0"/>
              <w:right w:val="single" w:color="BFBFBF" w:sz="8" w:space="0"/>
            </w:tcBorders>
            <w:shd w:val="clear" w:color="auto" w:fill="auto"/>
            <w:vAlign w:val="center"/>
          </w:tcPr>
          <w:p>
            <w:pPr>
              <w:keepNext/>
              <w:keepLines/>
              <w:spacing w:before="60" w:after="60"/>
              <w:jc w:val="center"/>
              <w:rPr>
                <w:rFonts w:ascii="宋体" w:hAnsi="宋体" w:eastAsia="宋体" w:cs="宋体"/>
                <w:sz w:val="20"/>
                <w:szCs w:val="20"/>
                <w:lang w:eastAsia="en-US"/>
              </w:rPr>
            </w:pPr>
            <w:r>
              <w:rPr>
                <w:rFonts w:hint="eastAsia" w:ascii="宋体" w:hAnsi="宋体" w:eastAsia="宋体" w:cs="宋体"/>
                <w:sz w:val="20"/>
                <w:szCs w:val="20"/>
                <w:lang w:eastAsia="en-US"/>
              </w:rPr>
              <w:t>是否符合</w:t>
            </w:r>
            <w:r>
              <w:rPr>
                <w:rFonts w:eastAsia="宋体" w:cs="Verdana"/>
                <w:sz w:val="20"/>
                <w:szCs w:val="20"/>
                <w:lang w:eastAsia="en-US"/>
              </w:rPr>
              <w:t>GBON</w:t>
            </w:r>
            <w:r>
              <w:rPr>
                <w:rFonts w:hint="eastAsia" w:ascii="宋体" w:hAnsi="宋体" w:eastAsia="宋体" w:cs="宋体"/>
                <w:sz w:val="20"/>
                <w:szCs w:val="20"/>
                <w:lang w:eastAsia="en-US"/>
              </w:rPr>
              <w:t>要求（是/否）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817" w:type="pct"/>
            <w:vMerge w:val="continue"/>
            <w:shd w:val="clear" w:color="auto" w:fill="auto"/>
            <w:vAlign w:val="center"/>
          </w:tcPr>
          <w:p>
            <w:pPr>
              <w:keepNext/>
              <w:keepLines/>
              <w:spacing w:before="60" w:after="60"/>
              <w:rPr>
                <w:sz w:val="20"/>
                <w:szCs w:val="20"/>
                <w:lang w:eastAsia="en-US"/>
              </w:rPr>
            </w:pPr>
          </w:p>
        </w:tc>
        <w:tc>
          <w:tcPr>
            <w:tcW w:w="607" w:type="pct"/>
            <w:vMerge w:val="continue"/>
            <w:tcBorders>
              <w:right w:val="single" w:color="BFBFBF" w:sz="8" w:space="0"/>
            </w:tcBorders>
            <w:shd w:val="clear" w:color="auto" w:fill="auto"/>
            <w:vAlign w:val="center"/>
          </w:tcPr>
          <w:p>
            <w:pPr>
              <w:keepNext/>
              <w:keepLines/>
              <w:spacing w:before="60" w:after="60"/>
              <w:rPr>
                <w:sz w:val="20"/>
                <w:szCs w:val="20"/>
                <w:lang w:eastAsia="en-US"/>
              </w:rPr>
            </w:pPr>
          </w:p>
        </w:tc>
        <w:tc>
          <w:tcPr>
            <w:tcW w:w="673" w:type="pct"/>
            <w:vMerge w:val="continue"/>
            <w:tcBorders>
              <w:left w:val="single" w:color="BFBFBF" w:sz="8" w:space="0"/>
              <w:right w:val="single" w:color="BFBFBF" w:sz="8" w:space="0"/>
            </w:tcBorders>
            <w:shd w:val="clear" w:color="auto" w:fill="auto"/>
          </w:tcPr>
          <w:p>
            <w:pPr>
              <w:keepNext/>
              <w:keepLines/>
              <w:spacing w:before="60" w:after="60"/>
              <w:rPr>
                <w:sz w:val="20"/>
                <w:szCs w:val="20"/>
                <w:lang w:eastAsia="en-US"/>
              </w:rPr>
            </w:pPr>
          </w:p>
        </w:tc>
        <w:tc>
          <w:tcPr>
            <w:tcW w:w="304" w:type="pct"/>
            <w:tcBorders>
              <w:top w:val="single" w:color="BFBFBF" w:sz="8" w:space="0"/>
              <w:left w:val="single" w:color="BFBFBF" w:sz="8" w:space="0"/>
              <w:bottom w:val="single" w:color="BFBFBF" w:sz="8" w:space="0"/>
              <w:right w:val="single" w:color="BFBFBF" w:sz="8" w:space="0"/>
            </w:tcBorders>
            <w:shd w:val="clear" w:color="auto" w:fill="auto"/>
            <w:vAlign w:val="center"/>
          </w:tcPr>
          <w:p>
            <w:pPr>
              <w:keepNext/>
              <w:keepLines/>
              <w:spacing w:before="60" w:after="60"/>
              <w:rPr>
                <w:sz w:val="20"/>
                <w:szCs w:val="20"/>
                <w:lang w:eastAsia="en-US"/>
              </w:rPr>
            </w:pPr>
            <w:r>
              <w:rPr>
                <w:sz w:val="20"/>
                <w:szCs w:val="20"/>
                <w:lang w:eastAsia="en-US"/>
              </w:rPr>
              <w:t>SLP</w:t>
            </w:r>
          </w:p>
        </w:tc>
        <w:tc>
          <w:tcPr>
            <w:tcW w:w="191" w:type="pct"/>
            <w:tcBorders>
              <w:top w:val="single" w:color="BFBFBF" w:sz="8" w:space="0"/>
              <w:left w:val="single" w:color="BFBFBF" w:sz="8" w:space="0"/>
              <w:bottom w:val="single" w:color="BFBFBF" w:sz="8" w:space="0"/>
              <w:right w:val="single" w:color="BFBFBF" w:sz="8" w:space="0"/>
            </w:tcBorders>
            <w:shd w:val="clear" w:color="auto" w:fill="auto"/>
            <w:vAlign w:val="center"/>
          </w:tcPr>
          <w:p>
            <w:pPr>
              <w:keepNext/>
              <w:keepLines/>
              <w:spacing w:before="60" w:after="60"/>
              <w:rPr>
                <w:sz w:val="20"/>
                <w:szCs w:val="20"/>
                <w:lang w:eastAsia="en-US"/>
              </w:rPr>
            </w:pPr>
            <w:r>
              <w:rPr>
                <w:sz w:val="20"/>
                <w:szCs w:val="20"/>
                <w:lang w:eastAsia="en-US"/>
              </w:rPr>
              <w:t>T</w:t>
            </w:r>
          </w:p>
        </w:tc>
        <w:tc>
          <w:tcPr>
            <w:tcW w:w="193" w:type="pct"/>
            <w:tcBorders>
              <w:top w:val="single" w:color="BFBFBF" w:sz="8" w:space="0"/>
              <w:left w:val="single" w:color="BFBFBF" w:sz="8" w:space="0"/>
              <w:bottom w:val="single" w:color="BFBFBF" w:sz="8" w:space="0"/>
              <w:right w:val="single" w:color="BFBFBF" w:sz="8" w:space="0"/>
            </w:tcBorders>
            <w:shd w:val="clear" w:color="auto" w:fill="auto"/>
            <w:vAlign w:val="center"/>
          </w:tcPr>
          <w:p>
            <w:pPr>
              <w:keepNext/>
              <w:keepLines/>
              <w:spacing w:before="60" w:after="60"/>
              <w:rPr>
                <w:sz w:val="20"/>
                <w:szCs w:val="20"/>
                <w:lang w:eastAsia="en-US"/>
              </w:rPr>
            </w:pPr>
            <w:r>
              <w:rPr>
                <w:sz w:val="20"/>
                <w:szCs w:val="20"/>
                <w:lang w:eastAsia="en-US"/>
              </w:rPr>
              <w:t>H</w:t>
            </w:r>
          </w:p>
        </w:tc>
        <w:tc>
          <w:tcPr>
            <w:tcW w:w="215" w:type="pct"/>
            <w:tcBorders>
              <w:top w:val="single" w:color="BFBFBF" w:sz="8" w:space="0"/>
              <w:left w:val="single" w:color="BFBFBF" w:sz="8" w:space="0"/>
              <w:bottom w:val="single" w:color="BFBFBF" w:sz="8" w:space="0"/>
              <w:right w:val="single" w:color="BFBFBF" w:sz="8" w:space="0"/>
            </w:tcBorders>
            <w:shd w:val="clear" w:color="auto" w:fill="auto"/>
            <w:vAlign w:val="center"/>
          </w:tcPr>
          <w:p>
            <w:pPr>
              <w:keepNext/>
              <w:keepLines/>
              <w:spacing w:before="60" w:after="60"/>
              <w:rPr>
                <w:sz w:val="20"/>
                <w:szCs w:val="20"/>
                <w:lang w:eastAsia="en-US"/>
              </w:rPr>
            </w:pPr>
            <w:r>
              <w:rPr>
                <w:sz w:val="20"/>
                <w:szCs w:val="20"/>
                <w:lang w:eastAsia="en-US"/>
              </w:rPr>
              <w:t>W</w:t>
            </w:r>
          </w:p>
        </w:tc>
        <w:tc>
          <w:tcPr>
            <w:tcW w:w="192" w:type="pct"/>
            <w:tcBorders>
              <w:top w:val="single" w:color="BFBFBF" w:sz="8" w:space="0"/>
              <w:left w:val="single" w:color="BFBFBF" w:sz="8" w:space="0"/>
              <w:bottom w:val="single" w:color="BFBFBF" w:sz="8" w:space="0"/>
              <w:right w:val="single" w:color="BFBFBF" w:sz="8" w:space="0"/>
            </w:tcBorders>
            <w:shd w:val="clear" w:color="auto" w:fill="auto"/>
            <w:vAlign w:val="center"/>
          </w:tcPr>
          <w:p>
            <w:pPr>
              <w:keepNext/>
              <w:keepLines/>
              <w:spacing w:before="60" w:after="60"/>
              <w:rPr>
                <w:sz w:val="20"/>
                <w:szCs w:val="20"/>
                <w:lang w:eastAsia="en-US"/>
              </w:rPr>
            </w:pPr>
            <w:r>
              <w:rPr>
                <w:sz w:val="20"/>
                <w:szCs w:val="20"/>
                <w:lang w:eastAsia="en-US"/>
              </w:rPr>
              <w:t>P</w:t>
            </w:r>
          </w:p>
        </w:tc>
        <w:tc>
          <w:tcPr>
            <w:tcW w:w="264" w:type="pct"/>
            <w:tcBorders>
              <w:top w:val="single" w:color="BFBFBF" w:sz="8" w:space="0"/>
              <w:left w:val="single" w:color="BFBFBF" w:sz="8" w:space="0"/>
              <w:bottom w:val="single" w:color="BFBFBF" w:sz="8" w:space="0"/>
              <w:right w:val="single" w:color="BFBFBF" w:sz="8" w:space="0"/>
            </w:tcBorders>
            <w:shd w:val="clear" w:color="auto" w:fill="auto"/>
            <w:vAlign w:val="center"/>
          </w:tcPr>
          <w:p>
            <w:pPr>
              <w:keepNext/>
              <w:keepLines/>
              <w:spacing w:before="60" w:after="60"/>
              <w:rPr>
                <w:sz w:val="20"/>
                <w:szCs w:val="20"/>
                <w:lang w:eastAsia="en-US"/>
              </w:rPr>
            </w:pPr>
            <w:r>
              <w:rPr>
                <w:sz w:val="20"/>
                <w:szCs w:val="20"/>
                <w:lang w:eastAsia="en-US"/>
              </w:rPr>
              <w:t>SD</w:t>
            </w:r>
          </w:p>
        </w:tc>
        <w:tc>
          <w:tcPr>
            <w:tcW w:w="729" w:type="pct"/>
            <w:vMerge w:val="continue"/>
            <w:tcBorders>
              <w:left w:val="single" w:color="BFBFBF" w:sz="8" w:space="0"/>
              <w:right w:val="single" w:color="BFBFBF" w:sz="8" w:space="0"/>
            </w:tcBorders>
            <w:shd w:val="clear" w:color="auto" w:fill="auto"/>
            <w:vAlign w:val="center"/>
          </w:tcPr>
          <w:p>
            <w:pPr>
              <w:keepNext/>
              <w:keepLines/>
              <w:spacing w:before="60" w:after="60"/>
              <w:rPr>
                <w:sz w:val="20"/>
                <w:szCs w:val="20"/>
                <w:lang w:eastAsia="en-US"/>
              </w:rPr>
            </w:pPr>
          </w:p>
        </w:tc>
        <w:tc>
          <w:tcPr>
            <w:tcW w:w="816" w:type="pct"/>
            <w:vMerge w:val="continue"/>
            <w:tcBorders>
              <w:left w:val="single" w:color="BFBFBF" w:sz="8" w:space="0"/>
              <w:right w:val="single" w:color="BFBFBF" w:sz="8" w:space="0"/>
            </w:tcBorders>
            <w:shd w:val="clear" w:color="auto" w:fill="auto"/>
          </w:tcPr>
          <w:p>
            <w:pPr>
              <w:keepNext/>
              <w:keepLines/>
              <w:spacing w:before="60" w:after="60"/>
              <w:rPr>
                <w:sz w:val="20"/>
                <w:szCs w:val="20"/>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trPr>
        <w:tc>
          <w:tcPr>
            <w:tcW w:w="817"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rPr>
                <w:rFonts w:eastAsia="Calibri"/>
                <w:smallCaps/>
                <w:sz w:val="20"/>
                <w:szCs w:val="20"/>
                <w:lang w:eastAsia="en-US"/>
              </w:rPr>
            </w:pPr>
          </w:p>
        </w:tc>
        <w:tc>
          <w:tcPr>
            <w:tcW w:w="607"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673"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Calibri"/>
                <w:sz w:val="20"/>
                <w:szCs w:val="20"/>
                <w:lang w:eastAsia="en-US"/>
              </w:rPr>
            </w:pPr>
          </w:p>
        </w:tc>
        <w:tc>
          <w:tcPr>
            <w:tcW w:w="30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Calibri"/>
                <w:sz w:val="20"/>
                <w:szCs w:val="20"/>
                <w:lang w:eastAsia="en-US"/>
              </w:rPr>
            </w:pPr>
          </w:p>
        </w:tc>
        <w:tc>
          <w:tcPr>
            <w:tcW w:w="191"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3"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215"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2"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26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729"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816"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 w:hRule="atLeast"/>
        </w:trPr>
        <w:tc>
          <w:tcPr>
            <w:tcW w:w="817"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rPr>
                <w:rFonts w:eastAsia="Calibri"/>
                <w:smallCaps/>
                <w:sz w:val="20"/>
                <w:szCs w:val="20"/>
                <w:lang w:eastAsia="en-US"/>
              </w:rPr>
            </w:pPr>
          </w:p>
        </w:tc>
        <w:tc>
          <w:tcPr>
            <w:tcW w:w="607"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673"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30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1"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3"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215"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2"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26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729"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816"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817"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rPr>
                <w:rFonts w:eastAsia="Calibri"/>
                <w:smallCaps/>
                <w:sz w:val="20"/>
                <w:szCs w:val="20"/>
                <w:lang w:eastAsia="en-US"/>
              </w:rPr>
            </w:pPr>
          </w:p>
        </w:tc>
        <w:tc>
          <w:tcPr>
            <w:tcW w:w="607"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673"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30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1"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3"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215"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2"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26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729"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816"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817"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rPr>
                <w:rFonts w:eastAsia="Calibri"/>
                <w:smallCaps/>
                <w:sz w:val="20"/>
                <w:szCs w:val="20"/>
                <w:lang w:eastAsia="en-US"/>
              </w:rPr>
            </w:pPr>
          </w:p>
        </w:tc>
        <w:tc>
          <w:tcPr>
            <w:tcW w:w="607"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673"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30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1"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3"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215"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2"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26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729"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816"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817"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rPr>
                <w:rFonts w:eastAsia="Calibri"/>
                <w:smallCaps/>
                <w:sz w:val="20"/>
                <w:szCs w:val="20"/>
                <w:lang w:eastAsia="en-US"/>
              </w:rPr>
            </w:pPr>
          </w:p>
        </w:tc>
        <w:tc>
          <w:tcPr>
            <w:tcW w:w="607"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673"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30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1"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3"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215"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2"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26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729"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816"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817"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rPr>
                <w:rFonts w:eastAsia="Calibri"/>
                <w:smallCaps/>
                <w:sz w:val="20"/>
                <w:szCs w:val="20"/>
                <w:lang w:eastAsia="en-US"/>
              </w:rPr>
            </w:pPr>
          </w:p>
        </w:tc>
        <w:tc>
          <w:tcPr>
            <w:tcW w:w="607"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673"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30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1"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3"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215"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192"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26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729"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c>
          <w:tcPr>
            <w:tcW w:w="816"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60" w:after="60"/>
              <w:jc w:val="center"/>
              <w:rPr>
                <w:rFonts w:eastAsia="Segoe UI" w:cs="Segoe UI"/>
                <w:sz w:val="20"/>
                <w:szCs w:val="20"/>
                <w:lang w:eastAsia="en-US"/>
              </w:rPr>
            </w:pPr>
          </w:p>
        </w:tc>
      </w:tr>
    </w:tbl>
    <w:p>
      <w:pPr>
        <w:keepNext/>
        <w:keepLines/>
        <w:spacing w:before="120" w:after="240"/>
        <w:rPr>
          <w:rFonts w:ascii="宋体" w:hAnsi="宋体" w:eastAsia="宋体" w:cs="宋体"/>
          <w:i/>
          <w:iCs/>
          <w:lang w:eastAsia="zh-CN"/>
        </w:rPr>
      </w:pPr>
      <w:r>
        <w:rPr>
          <w:rFonts w:hint="eastAsia" w:ascii="宋体" w:hAnsi="宋体" w:eastAsia="宋体" w:cs="宋体"/>
          <w:i/>
          <w:iCs/>
          <w:lang w:eastAsia="zh-CN"/>
        </w:rPr>
        <w:t>台站类型：</w:t>
      </w:r>
      <w:r>
        <w:rPr>
          <w:rFonts w:eastAsia="宋体" w:cs="Verdana"/>
          <w:i/>
          <w:iCs/>
          <w:lang w:eastAsia="zh-CN"/>
        </w:rPr>
        <w:t>S</w:t>
      </w:r>
      <w:r>
        <w:rPr>
          <w:rFonts w:hint="eastAsia" w:ascii="宋体" w:hAnsi="宋体" w:eastAsia="宋体" w:cs="宋体"/>
          <w:i/>
          <w:iCs/>
          <w:lang w:eastAsia="zh-CN"/>
        </w:rPr>
        <w:t>：地</w:t>
      </w:r>
      <w:r>
        <w:rPr>
          <w:rFonts w:hint="eastAsia" w:ascii="宋体" w:hAnsi="宋体" w:eastAsia="宋体" w:cs="宋体"/>
          <w:i/>
          <w:iCs/>
          <w:lang w:val="en-US" w:eastAsia="zh-CN"/>
        </w:rPr>
        <w:t>面</w:t>
      </w:r>
      <w:r>
        <w:rPr>
          <w:rFonts w:hint="eastAsia" w:ascii="宋体" w:hAnsi="宋体" w:eastAsia="宋体" w:cs="宋体"/>
          <w:i/>
          <w:iCs/>
          <w:lang w:eastAsia="zh-CN"/>
        </w:rPr>
        <w:t>，</w:t>
      </w:r>
      <w:r>
        <w:rPr>
          <w:rFonts w:eastAsia="宋体" w:cs="Verdana"/>
          <w:i/>
          <w:iCs/>
          <w:lang w:eastAsia="zh-CN"/>
        </w:rPr>
        <w:t>UA</w:t>
      </w:r>
      <w:r>
        <w:rPr>
          <w:rFonts w:hint="eastAsia" w:ascii="宋体" w:hAnsi="宋体" w:eastAsia="宋体" w:cs="宋体"/>
          <w:i/>
          <w:iCs/>
          <w:lang w:eastAsia="zh-CN"/>
        </w:rPr>
        <w:t>：高空，</w:t>
      </w:r>
      <w:r>
        <w:rPr>
          <w:rFonts w:eastAsia="宋体" w:cs="Verdana"/>
          <w:i/>
          <w:iCs/>
          <w:lang w:eastAsia="zh-CN"/>
        </w:rPr>
        <w:t>M</w:t>
      </w:r>
      <w:r>
        <w:rPr>
          <w:rFonts w:hint="eastAsia" w:ascii="宋体" w:hAnsi="宋体" w:eastAsia="宋体" w:cs="宋体"/>
          <w:i/>
          <w:iCs/>
          <w:lang w:eastAsia="zh-CN"/>
        </w:rPr>
        <w:t>：海洋；台站所有者：</w:t>
      </w:r>
      <w:r>
        <w:rPr>
          <w:rFonts w:eastAsia="宋体" w:cs="Verdana"/>
          <w:i/>
          <w:iCs/>
          <w:lang w:eastAsia="zh-CN"/>
        </w:rPr>
        <w:t>NMHS</w:t>
      </w:r>
      <w:r>
        <w:rPr>
          <w:rFonts w:hint="eastAsia" w:ascii="宋体" w:hAnsi="宋体" w:eastAsia="宋体" w:cs="宋体"/>
          <w:i/>
          <w:iCs/>
          <w:lang w:eastAsia="zh-CN"/>
        </w:rPr>
        <w:t>或某个第三方；变量：</w:t>
      </w:r>
      <w:r>
        <w:rPr>
          <w:rFonts w:eastAsia="宋体" w:cs="Verdana"/>
          <w:i/>
          <w:iCs/>
          <w:lang w:eastAsia="zh-CN"/>
        </w:rPr>
        <w:t>SLP</w:t>
      </w:r>
      <w:r>
        <w:rPr>
          <w:rFonts w:hint="eastAsia" w:ascii="宋体" w:hAnsi="宋体" w:eastAsia="宋体" w:cs="宋体"/>
          <w:i/>
          <w:iCs/>
          <w:lang w:eastAsia="zh-CN"/>
        </w:rPr>
        <w:t>：大气压力；</w:t>
      </w:r>
      <w:r>
        <w:rPr>
          <w:rFonts w:eastAsia="宋体" w:cs="Verdana"/>
          <w:i/>
          <w:iCs/>
          <w:lang w:eastAsia="zh-CN"/>
        </w:rPr>
        <w:t>T</w:t>
      </w:r>
      <w:r>
        <w:rPr>
          <w:rFonts w:hint="eastAsia" w:ascii="宋体" w:hAnsi="宋体" w:eastAsia="宋体" w:cs="宋体"/>
          <w:i/>
          <w:iCs/>
          <w:lang w:eastAsia="zh-CN"/>
        </w:rPr>
        <w:t>：温度；</w:t>
      </w:r>
      <w:r>
        <w:rPr>
          <w:rFonts w:eastAsia="宋体" w:cs="Verdana"/>
          <w:i/>
          <w:iCs/>
          <w:lang w:eastAsia="zh-CN"/>
        </w:rPr>
        <w:t>H</w:t>
      </w:r>
      <w:r>
        <w:rPr>
          <w:rFonts w:hint="eastAsia" w:ascii="宋体" w:hAnsi="宋体" w:eastAsia="宋体" w:cs="宋体"/>
          <w:i/>
          <w:iCs/>
          <w:lang w:eastAsia="zh-CN"/>
        </w:rPr>
        <w:t>：湿度；</w:t>
      </w:r>
      <w:r>
        <w:rPr>
          <w:rFonts w:eastAsia="宋体" w:cs="Verdana"/>
          <w:i/>
          <w:iCs/>
          <w:lang w:eastAsia="zh-CN"/>
        </w:rPr>
        <w:t>W</w:t>
      </w:r>
      <w:r>
        <w:rPr>
          <w:rFonts w:hint="eastAsia" w:ascii="宋体" w:hAnsi="宋体" w:eastAsia="宋体" w:cs="宋体"/>
          <w:i/>
          <w:iCs/>
          <w:lang w:eastAsia="zh-CN"/>
        </w:rPr>
        <w:t>：风；</w:t>
      </w:r>
      <w:r>
        <w:rPr>
          <w:rFonts w:eastAsia="宋体" w:cs="Verdana"/>
          <w:i/>
          <w:iCs/>
          <w:lang w:eastAsia="zh-CN"/>
        </w:rPr>
        <w:t>P</w:t>
      </w:r>
      <w:r>
        <w:rPr>
          <w:rFonts w:hint="eastAsia" w:ascii="宋体" w:hAnsi="宋体" w:eastAsia="宋体" w:cs="宋体"/>
          <w:i/>
          <w:iCs/>
          <w:lang w:eastAsia="zh-CN"/>
        </w:rPr>
        <w:t>：降水；</w:t>
      </w:r>
      <w:r>
        <w:rPr>
          <w:rFonts w:eastAsia="宋体" w:cs="Verdana"/>
          <w:i/>
          <w:iCs/>
          <w:lang w:eastAsia="zh-CN"/>
        </w:rPr>
        <w:t>SD</w:t>
      </w:r>
      <w:r>
        <w:rPr>
          <w:rFonts w:hint="eastAsia" w:ascii="宋体" w:hAnsi="宋体" w:eastAsia="宋体" w:cs="宋体"/>
          <w:i/>
          <w:iCs/>
          <w:lang w:eastAsia="zh-CN"/>
        </w:rPr>
        <w:t>：雪深；报告周期：每天在国际上交换的观测报告的数量（</w:t>
      </w:r>
      <w:r>
        <w:rPr>
          <w:rFonts w:eastAsia="宋体" w:cs="Verdana"/>
          <w:i/>
          <w:iCs/>
          <w:lang w:eastAsia="zh-CN"/>
        </w:rPr>
        <w:t>0-24</w:t>
      </w:r>
      <w:r>
        <w:rPr>
          <w:rFonts w:hint="eastAsia" w:ascii="宋体" w:hAnsi="宋体" w:eastAsia="宋体" w:cs="宋体"/>
          <w:i/>
          <w:iCs/>
          <w:lang w:eastAsia="zh-CN"/>
        </w:rPr>
        <w:t>）；总结台站是否符合</w:t>
      </w:r>
      <w:r>
        <w:rPr>
          <w:rFonts w:eastAsia="宋体" w:cs="Verdana"/>
          <w:i/>
          <w:iCs/>
          <w:lang w:eastAsia="zh-CN"/>
        </w:rPr>
        <w:t>GBON</w:t>
      </w:r>
      <w:r>
        <w:rPr>
          <w:rFonts w:hint="eastAsia" w:ascii="宋体" w:hAnsi="宋体" w:eastAsia="宋体" w:cs="宋体"/>
          <w:i/>
          <w:iCs/>
          <w:lang w:eastAsia="zh-CN"/>
        </w:rPr>
        <w:t>要求（是/否）。</w:t>
      </w:r>
    </w:p>
    <w:p>
      <w:pPr>
        <w:spacing w:after="240" w:line="240" w:lineRule="exact"/>
        <w:rPr>
          <w:rFonts w:ascii="微软雅黑" w:hAnsi="微软雅黑" w:eastAsia="微软雅黑" w:cs="微软雅黑"/>
          <w:b/>
          <w:bCs/>
          <w:lang w:eastAsia="zh-CN"/>
        </w:rPr>
      </w:pPr>
      <w:r>
        <w:rPr>
          <w:rFonts w:hint="eastAsia" w:ascii="微软雅黑" w:hAnsi="微软雅黑" w:eastAsia="微软雅黑" w:cs="微软雅黑"/>
          <w:b/>
          <w:bCs/>
          <w:lang w:val="en-US" w:eastAsia="zh-CN"/>
        </w:rPr>
        <w:t>步骤</w:t>
      </w:r>
      <w:r>
        <w:rPr>
          <w:rFonts w:hint="eastAsia" w:eastAsia="Calibri"/>
          <w:b/>
          <w:bCs/>
          <w:lang w:eastAsia="zh-CN"/>
        </w:rPr>
        <w:t>3</w:t>
      </w:r>
      <w:r>
        <w:rPr>
          <w:rFonts w:hint="eastAsia" w:ascii="微软雅黑" w:hAnsi="微软雅黑" w:eastAsia="微软雅黑" w:cs="微软雅黑"/>
          <w:b/>
          <w:bCs/>
          <w:lang w:eastAsia="zh-CN"/>
        </w:rPr>
        <w:t>——</w:t>
      </w:r>
      <w:r>
        <w:rPr>
          <w:rFonts w:hint="eastAsia" w:eastAsia="Calibri"/>
          <w:b/>
          <w:bCs/>
          <w:lang w:eastAsia="zh-CN"/>
        </w:rPr>
        <w:t>GBON</w:t>
      </w:r>
      <w:r>
        <w:rPr>
          <w:rFonts w:hint="eastAsia" w:ascii="微软雅黑" w:hAnsi="微软雅黑" w:eastAsia="微软雅黑" w:cs="微软雅黑"/>
          <w:b/>
          <w:bCs/>
          <w:lang w:eastAsia="zh-CN"/>
        </w:rPr>
        <w:t>差距分析结果</w:t>
      </w:r>
    </w:p>
    <w:p>
      <w:pPr>
        <w:spacing w:after="240" w:line="240" w:lineRule="exact"/>
        <w:rPr>
          <w:rFonts w:ascii="宋体" w:hAnsi="宋体" w:eastAsia="宋体" w:cs="宋体"/>
          <w:lang w:eastAsia="zh-CN"/>
        </w:rPr>
      </w:pPr>
      <w:r>
        <w:rPr>
          <w:rFonts w:hint="eastAsia" w:ascii="宋体" w:hAnsi="宋体" w:eastAsia="宋体" w:cs="宋体"/>
          <w:lang w:eastAsia="zh-CN"/>
        </w:rPr>
        <w:t>步骤</w:t>
      </w:r>
      <w:r>
        <w:rPr>
          <w:rFonts w:eastAsia="宋体" w:cs="Verdana"/>
          <w:lang w:eastAsia="zh-CN"/>
        </w:rPr>
        <w:t>1</w:t>
      </w:r>
      <w:r>
        <w:rPr>
          <w:rFonts w:hint="eastAsia" w:ascii="宋体" w:hAnsi="宋体" w:eastAsia="宋体" w:cs="宋体"/>
          <w:lang w:eastAsia="zh-CN"/>
        </w:rPr>
        <w:t>和</w:t>
      </w:r>
      <w:r>
        <w:rPr>
          <w:rFonts w:eastAsia="宋体" w:cs="Verdana"/>
          <w:lang w:eastAsia="zh-CN"/>
        </w:rPr>
        <w:t>2</w:t>
      </w:r>
      <w:r>
        <w:rPr>
          <w:rFonts w:hint="eastAsia" w:ascii="宋体" w:hAnsi="宋体" w:eastAsia="宋体" w:cs="宋体"/>
          <w:lang w:eastAsia="zh-CN"/>
        </w:rPr>
        <w:t>的分析结果见表</w:t>
      </w:r>
      <w:r>
        <w:rPr>
          <w:rFonts w:eastAsia="宋体" w:cs="Verdana"/>
          <w:lang w:eastAsia="zh-CN"/>
        </w:rPr>
        <w:t>5.5</w:t>
      </w:r>
      <w:r>
        <w:rPr>
          <w:rFonts w:hint="eastAsia" w:ascii="宋体" w:hAnsi="宋体" w:eastAsia="宋体" w:cs="宋体"/>
          <w:lang w:eastAsia="zh-CN"/>
        </w:rPr>
        <w:t>：根据</w:t>
      </w:r>
      <w:r>
        <w:rPr>
          <w:rFonts w:eastAsia="宋体" w:cs="Verdana"/>
          <w:lang w:eastAsia="zh-CN"/>
        </w:rPr>
        <w:t>GBON</w:t>
      </w:r>
      <w:r>
        <w:rPr>
          <w:rFonts w:hint="eastAsia" w:ascii="宋体" w:hAnsi="宋体" w:eastAsia="宋体" w:cs="宋体"/>
          <w:lang w:eastAsia="zh-CN"/>
        </w:rPr>
        <w:t>规则所需的台站数量（</w:t>
      </w:r>
      <w:r>
        <w:rPr>
          <w:rFonts w:eastAsia="宋体" w:cs="Verdana"/>
          <w:lang w:eastAsia="zh-CN"/>
        </w:rPr>
        <w:t>GBON</w:t>
      </w:r>
      <w:r>
        <w:rPr>
          <w:rFonts w:hint="eastAsia" w:ascii="宋体" w:hAnsi="宋体" w:eastAsia="宋体" w:cs="宋体"/>
          <w:lang w:eastAsia="zh-CN"/>
        </w:rPr>
        <w:t>目标）、符合</w:t>
      </w:r>
      <w:r>
        <w:rPr>
          <w:rFonts w:eastAsia="宋体" w:cs="Verdana"/>
          <w:lang w:eastAsia="zh-CN"/>
        </w:rPr>
        <w:t>GBON</w:t>
      </w:r>
      <w:r>
        <w:rPr>
          <w:rFonts w:hint="eastAsia" w:ascii="宋体" w:hAnsi="宋体" w:eastAsia="宋体" w:cs="宋体"/>
          <w:lang w:eastAsia="zh-CN"/>
        </w:rPr>
        <w:t>要求的现有台站数量，以及地面、高空和海洋网所需的新的和改进的</w:t>
      </w:r>
      <w:r>
        <w:rPr>
          <w:rFonts w:eastAsia="宋体" w:cs="Verdana"/>
          <w:lang w:eastAsia="zh-CN"/>
        </w:rPr>
        <w:t>GBON</w:t>
      </w:r>
      <w:r>
        <w:rPr>
          <w:rFonts w:hint="eastAsia" w:ascii="宋体" w:hAnsi="宋体" w:eastAsia="宋体" w:cs="宋体"/>
          <w:lang w:eastAsia="zh-CN"/>
        </w:rPr>
        <w:t>台站。</w:t>
      </w:r>
    </w:p>
    <w:p>
      <w:pPr>
        <w:spacing w:after="240" w:line="240" w:lineRule="exact"/>
        <w:contextualSpacing/>
        <w:rPr>
          <w:rFonts w:ascii="宋体" w:hAnsi="宋体" w:eastAsia="宋体" w:cs="宋体"/>
          <w:lang w:eastAsia="zh-CN"/>
        </w:rPr>
      </w:pPr>
      <w:r>
        <w:rPr>
          <w:rFonts w:hint="eastAsia" w:ascii="宋体" w:hAnsi="宋体" w:eastAsia="宋体" w:cs="宋体"/>
          <w:lang w:eastAsia="zh-CN"/>
        </w:rPr>
        <w:t>绘制了一张现有台站的地图，在以现有台站为中心，以</w:t>
      </w:r>
      <w:r>
        <w:rPr>
          <w:rFonts w:eastAsia="宋体" w:cs="Verdana"/>
          <w:lang w:eastAsia="zh-CN"/>
        </w:rPr>
        <w:t>200 km</w:t>
      </w:r>
      <w:r>
        <w:rPr>
          <w:rFonts w:hint="eastAsia" w:ascii="宋体" w:hAnsi="宋体" w:eastAsia="宋体" w:cs="宋体"/>
          <w:lang w:eastAsia="zh-CN"/>
        </w:rPr>
        <w:t>（地面）和</w:t>
      </w:r>
      <w:r>
        <w:rPr>
          <w:rFonts w:eastAsia="宋体" w:cs="Verdana"/>
          <w:lang w:eastAsia="zh-CN"/>
        </w:rPr>
        <w:t>500 km</w:t>
      </w:r>
      <w:r>
        <w:rPr>
          <w:rFonts w:hint="eastAsia" w:ascii="宋体" w:hAnsi="宋体" w:eastAsia="宋体" w:cs="宋体"/>
          <w:lang w:eastAsia="zh-CN"/>
        </w:rPr>
        <w:t>（高空和海洋）为半径的圆内标出了缺乏台站的位置。</w:t>
      </w:r>
    </w:p>
    <w:p>
      <w:pPr>
        <w:spacing w:after="240" w:line="240" w:lineRule="exact"/>
        <w:contextualSpacing/>
        <w:rPr>
          <w:rFonts w:eastAsia="Calibri" w:cs="Segoe UI"/>
          <w:lang w:eastAsia="zh-CN"/>
        </w:rPr>
      </w:pPr>
    </w:p>
    <w:p>
      <w:pPr>
        <w:spacing w:after="240" w:line="240" w:lineRule="exact"/>
        <w:jc w:val="center"/>
        <w:rPr>
          <w:rFonts w:ascii="微软雅黑" w:hAnsi="微软雅黑" w:eastAsia="微软雅黑" w:cs="微软雅黑"/>
          <w:b/>
          <w:bCs/>
          <w:lang w:eastAsia="zh-CN"/>
        </w:rPr>
      </w:pPr>
      <w:r>
        <w:rPr>
          <w:rFonts w:hint="eastAsia" w:ascii="微软雅黑" w:hAnsi="微软雅黑" w:eastAsia="微软雅黑" w:cs="微软雅黑"/>
          <w:b/>
          <w:bCs/>
          <w:lang w:val="en-US" w:eastAsia="zh-CN"/>
        </w:rPr>
        <w:t>表</w:t>
      </w:r>
      <w:r>
        <w:rPr>
          <w:b/>
          <w:bCs/>
          <w:lang w:eastAsia="zh-CN"/>
        </w:rPr>
        <w:t>5.5.</w:t>
      </w:r>
      <w:r>
        <w:rPr>
          <w:rFonts w:hint="eastAsia" w:ascii="微软雅黑" w:hAnsi="微软雅黑" w:eastAsia="微软雅黑" w:cs="微软雅黑"/>
          <w:b/>
          <w:bCs/>
          <w:lang w:eastAsia="zh-CN"/>
        </w:rPr>
        <w:t xml:space="preserve"> 国家</w:t>
      </w:r>
      <w:r>
        <w:rPr>
          <w:rFonts w:hint="eastAsia"/>
          <w:b/>
          <w:bCs/>
          <w:lang w:eastAsia="zh-CN"/>
        </w:rPr>
        <w:t>GBON</w:t>
      </w:r>
      <w:r>
        <w:rPr>
          <w:rFonts w:hint="eastAsia" w:ascii="微软雅黑" w:hAnsi="微软雅黑" w:eastAsia="微软雅黑" w:cs="微软雅黑"/>
          <w:b/>
          <w:bCs/>
          <w:lang w:eastAsia="zh-CN"/>
        </w:rPr>
        <w:t>差距分析结果</w:t>
      </w:r>
    </w:p>
    <w:tbl>
      <w:tblPr>
        <w:tblStyle w:val="368"/>
        <w:tblW w:w="5000" w:type="pct"/>
        <w:tblInd w:w="0" w:type="dxa"/>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Layout w:type="autofit"/>
        <w:tblCellMar>
          <w:top w:w="0" w:type="dxa"/>
          <w:left w:w="108" w:type="dxa"/>
          <w:bottom w:w="0" w:type="dxa"/>
          <w:right w:w="108" w:type="dxa"/>
        </w:tblCellMar>
      </w:tblPr>
      <w:tblGrid>
        <w:gridCol w:w="2979"/>
        <w:gridCol w:w="1796"/>
        <w:gridCol w:w="1796"/>
        <w:gridCol w:w="1648"/>
        <w:gridCol w:w="1636"/>
      </w:tblGrid>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491" w:hRule="atLeast"/>
        </w:trPr>
        <w:tc>
          <w:tcPr>
            <w:tcW w:w="1512" w:type="pct"/>
            <w:vMerge w:val="restart"/>
            <w:shd w:val="clear" w:color="auto" w:fill="auto"/>
            <w:vAlign w:val="center"/>
          </w:tcPr>
          <w:p>
            <w:pPr>
              <w:spacing w:before="60" w:after="60"/>
              <w:jc w:val="center"/>
              <w:rPr>
                <w:sz w:val="20"/>
                <w:szCs w:val="20"/>
                <w:lang w:eastAsia="en-US"/>
              </w:rPr>
            </w:pPr>
            <w:r>
              <w:rPr>
                <w:sz w:val="20"/>
                <w:szCs w:val="20"/>
                <w:lang w:eastAsia="en-US"/>
              </w:rPr>
              <w:t>GBON</w:t>
            </w:r>
            <w:r>
              <w:rPr>
                <w:rFonts w:hint="eastAsia" w:ascii="宋体" w:hAnsi="宋体" w:eastAsia="宋体" w:cs="宋体"/>
                <w:sz w:val="20"/>
                <w:szCs w:val="20"/>
                <w:lang w:eastAsia="en-US"/>
              </w:rPr>
              <w:t>要求</w:t>
            </w:r>
          </w:p>
        </w:tc>
        <w:tc>
          <w:tcPr>
            <w:tcW w:w="911" w:type="pct"/>
            <w:vMerge w:val="restart"/>
            <w:shd w:val="clear" w:color="auto" w:fill="auto"/>
            <w:vAlign w:val="center"/>
          </w:tcPr>
          <w:p>
            <w:pPr>
              <w:spacing w:before="60" w:after="60"/>
              <w:jc w:val="center"/>
              <w:rPr>
                <w:sz w:val="20"/>
                <w:szCs w:val="20"/>
                <w:lang w:eastAsia="en-US"/>
              </w:rPr>
            </w:pPr>
            <w:r>
              <w:rPr>
                <w:sz w:val="20"/>
                <w:szCs w:val="20"/>
                <w:lang w:eastAsia="en-US"/>
              </w:rPr>
              <w:t>GBON</w:t>
            </w:r>
            <w:r>
              <w:rPr>
                <w:rFonts w:hint="eastAsia" w:ascii="宋体" w:hAnsi="宋体" w:eastAsia="宋体" w:cs="宋体"/>
                <w:smallCaps/>
                <w:sz w:val="20"/>
                <w:szCs w:val="20"/>
                <w:lang w:eastAsia="en-US"/>
              </w:rPr>
              <w:t>目标</w:t>
            </w:r>
          </w:p>
        </w:tc>
        <w:tc>
          <w:tcPr>
            <w:tcW w:w="911" w:type="pct"/>
            <w:vMerge w:val="restart"/>
            <w:shd w:val="clear" w:color="auto" w:fill="auto"/>
            <w:vAlign w:val="center"/>
          </w:tcPr>
          <w:p>
            <w:pPr>
              <w:spacing w:before="60" w:after="60"/>
              <w:jc w:val="center"/>
              <w:rPr>
                <w:sz w:val="20"/>
                <w:szCs w:val="20"/>
                <w:lang w:eastAsia="zh-CN"/>
              </w:rPr>
            </w:pPr>
            <w:r>
              <w:rPr>
                <w:rFonts w:hint="eastAsia" w:ascii="宋体" w:hAnsi="宋体" w:eastAsia="宋体" w:cs="宋体"/>
                <w:sz w:val="20"/>
                <w:szCs w:val="20"/>
                <w:lang w:eastAsia="zh-CN"/>
              </w:rPr>
              <w:t>达到</w:t>
            </w:r>
            <w:r>
              <w:rPr>
                <w:rFonts w:hint="eastAsia"/>
                <w:sz w:val="20"/>
                <w:szCs w:val="20"/>
                <w:lang w:eastAsia="zh-CN"/>
              </w:rPr>
              <w:t>GBON</w:t>
            </w:r>
            <w:r>
              <w:rPr>
                <w:rFonts w:hint="eastAsia" w:ascii="宋体" w:hAnsi="宋体" w:eastAsia="宋体" w:cs="宋体"/>
                <w:sz w:val="20"/>
                <w:szCs w:val="20"/>
                <w:lang w:eastAsia="zh-CN"/>
              </w:rPr>
              <w:t>要求的台站</w:t>
            </w:r>
          </w:p>
        </w:tc>
        <w:tc>
          <w:tcPr>
            <w:tcW w:w="1666" w:type="pct"/>
            <w:gridSpan w:val="2"/>
            <w:shd w:val="clear" w:color="auto" w:fill="auto"/>
            <w:vAlign w:val="center"/>
          </w:tcPr>
          <w:p>
            <w:pPr>
              <w:spacing w:before="60" w:after="60"/>
              <w:jc w:val="center"/>
              <w:rPr>
                <w:rFonts w:ascii="宋体" w:hAnsi="宋体" w:eastAsia="宋体" w:cs="宋体"/>
                <w:sz w:val="20"/>
                <w:szCs w:val="20"/>
                <w:lang w:eastAsia="en-US"/>
              </w:rPr>
            </w:pPr>
            <w:r>
              <w:rPr>
                <w:rFonts w:hint="eastAsia" w:ascii="宋体" w:hAnsi="宋体" w:eastAsia="宋体" w:cs="宋体"/>
                <w:sz w:val="20"/>
                <w:szCs w:val="20"/>
                <w:lang w:eastAsia="en-US"/>
              </w:rPr>
              <w:t>根据</w:t>
            </w:r>
            <w:r>
              <w:rPr>
                <w:rFonts w:hint="eastAsia"/>
                <w:sz w:val="20"/>
                <w:szCs w:val="20"/>
                <w:lang w:eastAsia="en-US"/>
              </w:rPr>
              <w:t>GBON</w:t>
            </w:r>
            <w:r>
              <w:rPr>
                <w:rFonts w:hint="eastAsia" w:ascii="宋体" w:hAnsi="宋体" w:eastAsia="宋体" w:cs="宋体"/>
                <w:sz w:val="20"/>
                <w:szCs w:val="20"/>
                <w:lang w:eastAsia="en-US"/>
              </w:rPr>
              <w:t>要求所需的台站</w:t>
            </w:r>
          </w:p>
        </w:tc>
      </w:tr>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302" w:hRule="atLeast"/>
        </w:trPr>
        <w:tc>
          <w:tcPr>
            <w:tcW w:w="1512" w:type="pct"/>
            <w:vMerge w:val="continue"/>
            <w:shd w:val="clear" w:color="auto" w:fill="auto"/>
            <w:vAlign w:val="center"/>
          </w:tcPr>
          <w:p>
            <w:pPr>
              <w:spacing w:before="60" w:after="60"/>
              <w:jc w:val="center"/>
              <w:rPr>
                <w:sz w:val="20"/>
                <w:szCs w:val="20"/>
                <w:lang w:eastAsia="en-US"/>
              </w:rPr>
            </w:pPr>
          </w:p>
        </w:tc>
        <w:tc>
          <w:tcPr>
            <w:tcW w:w="911" w:type="pct"/>
            <w:vMerge w:val="continue"/>
            <w:shd w:val="clear" w:color="auto" w:fill="auto"/>
            <w:vAlign w:val="center"/>
          </w:tcPr>
          <w:p>
            <w:pPr>
              <w:spacing w:before="60" w:after="60"/>
              <w:jc w:val="center"/>
              <w:rPr>
                <w:sz w:val="20"/>
                <w:szCs w:val="20"/>
                <w:lang w:eastAsia="en-US"/>
              </w:rPr>
            </w:pPr>
          </w:p>
        </w:tc>
        <w:tc>
          <w:tcPr>
            <w:tcW w:w="911" w:type="pct"/>
            <w:vMerge w:val="continue"/>
            <w:shd w:val="clear" w:color="auto" w:fill="auto"/>
          </w:tcPr>
          <w:p>
            <w:pPr>
              <w:spacing w:before="60" w:after="60"/>
              <w:jc w:val="center"/>
              <w:rPr>
                <w:sz w:val="20"/>
                <w:szCs w:val="20"/>
                <w:lang w:eastAsia="en-US"/>
              </w:rPr>
            </w:pPr>
          </w:p>
        </w:tc>
        <w:tc>
          <w:tcPr>
            <w:tcW w:w="836" w:type="pct"/>
            <w:tcBorders>
              <w:right w:val="single" w:color="A6A6A6" w:sz="8" w:space="0"/>
            </w:tcBorders>
            <w:shd w:val="clear" w:color="auto" w:fill="auto"/>
            <w:vAlign w:val="center"/>
          </w:tcPr>
          <w:p>
            <w:pPr>
              <w:spacing w:before="60" w:after="60"/>
              <w:jc w:val="center"/>
              <w:rPr>
                <w:rFonts w:ascii="宋体" w:hAnsi="宋体" w:eastAsia="宋体" w:cs="宋体"/>
                <w:sz w:val="20"/>
                <w:szCs w:val="20"/>
                <w:lang w:val="en-US" w:eastAsia="zh-CN"/>
              </w:rPr>
            </w:pPr>
            <w:r>
              <w:rPr>
                <w:rFonts w:hint="eastAsia" w:ascii="宋体" w:hAnsi="宋体" w:eastAsia="宋体" w:cs="宋体"/>
                <w:sz w:val="20"/>
                <w:szCs w:val="20"/>
                <w:lang w:val="en-US" w:eastAsia="zh-CN"/>
              </w:rPr>
              <w:t>新台站</w:t>
            </w:r>
          </w:p>
        </w:tc>
        <w:tc>
          <w:tcPr>
            <w:tcW w:w="830" w:type="pct"/>
            <w:tcBorders>
              <w:left w:val="single" w:color="A6A6A6" w:sz="8" w:space="0"/>
            </w:tcBorders>
            <w:shd w:val="clear" w:color="auto" w:fill="auto"/>
            <w:vAlign w:val="center"/>
          </w:tcPr>
          <w:p>
            <w:pPr>
              <w:spacing w:before="60" w:after="60"/>
              <w:jc w:val="center"/>
              <w:rPr>
                <w:rFonts w:ascii="宋体" w:hAnsi="宋体" w:eastAsia="宋体" w:cs="宋体"/>
                <w:sz w:val="20"/>
                <w:szCs w:val="20"/>
                <w:lang w:val="en-US" w:eastAsia="zh-CN"/>
              </w:rPr>
            </w:pPr>
            <w:r>
              <w:rPr>
                <w:rFonts w:hint="eastAsia" w:ascii="宋体" w:hAnsi="宋体" w:eastAsia="宋体" w:cs="宋体"/>
                <w:sz w:val="20"/>
                <w:szCs w:val="20"/>
                <w:lang w:val="en-US" w:eastAsia="zh-CN"/>
              </w:rPr>
              <w:t>改进的台站</w:t>
            </w:r>
          </w:p>
        </w:tc>
      </w:tr>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765" w:hRule="atLeast"/>
        </w:trPr>
        <w:tc>
          <w:tcPr>
            <w:tcW w:w="2979" w:type="dxa"/>
            <w:shd w:val="clear" w:color="auto" w:fill="auto"/>
            <w:vAlign w:val="center"/>
          </w:tcPr>
          <w:p>
            <w:pPr>
              <w:keepNext/>
              <w:keepLines/>
              <w:spacing w:before="60" w:after="60"/>
              <w:rPr>
                <w:rFonts w:ascii="宋体" w:hAnsi="宋体" w:eastAsia="宋体" w:cs="宋体"/>
                <w:smallCaps/>
                <w:sz w:val="20"/>
                <w:szCs w:val="20"/>
                <w:lang w:eastAsia="zh-CN"/>
              </w:rPr>
            </w:pPr>
            <w:r>
              <w:rPr>
                <w:rFonts w:hint="eastAsia" w:ascii="宋体" w:hAnsi="宋体" w:eastAsia="宋体" w:cs="宋体"/>
                <w:smallCaps/>
                <w:sz w:val="20"/>
                <w:szCs w:val="20"/>
                <w:lang w:eastAsia="en-US"/>
              </w:rPr>
              <w:t>地面站</w:t>
            </w:r>
            <w:r>
              <w:rPr>
                <w:rFonts w:hint="eastAsia" w:ascii="宋体" w:hAnsi="宋体" w:eastAsia="宋体" w:cs="宋体"/>
                <w:smallCaps/>
                <w:sz w:val="20"/>
                <w:szCs w:val="20"/>
                <w:lang w:eastAsia="zh-CN"/>
              </w:rPr>
              <w:t>，</w:t>
            </w:r>
          </w:p>
          <w:p>
            <w:pPr>
              <w:keepNext/>
              <w:keepLines/>
              <w:spacing w:before="60" w:after="60"/>
              <w:rPr>
                <w:sz w:val="20"/>
                <w:szCs w:val="20"/>
                <w:lang w:eastAsia="en-US"/>
              </w:rPr>
            </w:pPr>
            <w:r>
              <w:rPr>
                <w:rFonts w:hint="eastAsia" w:ascii="宋体" w:hAnsi="宋体" w:eastAsia="宋体" w:cs="宋体"/>
                <w:smallCaps/>
                <w:sz w:val="20"/>
                <w:szCs w:val="20"/>
                <w:lang w:eastAsia="en-US"/>
              </w:rPr>
              <w:t>标准密度，</w:t>
            </w:r>
            <w:r>
              <w:rPr>
                <w:rFonts w:hint="eastAsia" w:eastAsia="Calibri"/>
                <w:smallCaps/>
                <w:sz w:val="20"/>
                <w:szCs w:val="20"/>
                <w:lang w:eastAsia="en-US"/>
              </w:rPr>
              <w:t xml:space="preserve">200 </w:t>
            </w:r>
            <w:r>
              <w:rPr>
                <w:sz w:val="20"/>
                <w:szCs w:val="20"/>
                <w:lang w:eastAsia="en-US"/>
              </w:rPr>
              <w:t>km</w:t>
            </w:r>
          </w:p>
        </w:tc>
        <w:tc>
          <w:tcPr>
            <w:tcW w:w="911" w:type="pct"/>
            <w:shd w:val="clear" w:color="auto" w:fill="auto"/>
          </w:tcPr>
          <w:p>
            <w:pPr>
              <w:spacing w:before="60" w:after="60"/>
              <w:rPr>
                <w:rFonts w:eastAsia="Verdana" w:cs="Segoe UI"/>
                <w:sz w:val="20"/>
                <w:szCs w:val="20"/>
                <w:lang w:eastAsia="en-US"/>
              </w:rPr>
            </w:pPr>
          </w:p>
        </w:tc>
        <w:tc>
          <w:tcPr>
            <w:tcW w:w="911" w:type="pct"/>
            <w:shd w:val="clear" w:color="auto" w:fill="auto"/>
          </w:tcPr>
          <w:p>
            <w:pPr>
              <w:spacing w:before="60" w:after="60"/>
              <w:rPr>
                <w:rFonts w:eastAsia="Verdana" w:cs="Segoe UI"/>
                <w:sz w:val="20"/>
                <w:szCs w:val="20"/>
                <w:lang w:eastAsia="en-US"/>
              </w:rPr>
            </w:pPr>
          </w:p>
        </w:tc>
        <w:tc>
          <w:tcPr>
            <w:tcW w:w="836" w:type="pct"/>
            <w:tcBorders>
              <w:right w:val="single" w:color="A6A6A6" w:sz="8" w:space="0"/>
            </w:tcBorders>
            <w:shd w:val="clear" w:color="auto" w:fill="auto"/>
          </w:tcPr>
          <w:p>
            <w:pPr>
              <w:spacing w:before="60" w:after="60"/>
              <w:rPr>
                <w:rFonts w:cs="Segoe UI"/>
                <w:b/>
                <w:sz w:val="20"/>
                <w:szCs w:val="20"/>
                <w:lang w:eastAsia="en-US"/>
              </w:rPr>
            </w:pPr>
          </w:p>
        </w:tc>
        <w:tc>
          <w:tcPr>
            <w:tcW w:w="830" w:type="pct"/>
            <w:tcBorders>
              <w:left w:val="single" w:color="A6A6A6" w:sz="8" w:space="0"/>
            </w:tcBorders>
            <w:shd w:val="clear" w:color="auto" w:fill="auto"/>
          </w:tcPr>
          <w:p>
            <w:pPr>
              <w:spacing w:before="60" w:after="60"/>
              <w:rPr>
                <w:rFonts w:cs="Segoe UI"/>
                <w:b/>
                <w:sz w:val="20"/>
                <w:szCs w:val="20"/>
                <w:lang w:eastAsia="en-US"/>
              </w:rPr>
            </w:pPr>
          </w:p>
        </w:tc>
      </w:tr>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472" w:hRule="atLeast"/>
        </w:trPr>
        <w:tc>
          <w:tcPr>
            <w:tcW w:w="2979" w:type="dxa"/>
            <w:shd w:val="clear" w:color="auto" w:fill="auto"/>
            <w:vAlign w:val="center"/>
          </w:tcPr>
          <w:p>
            <w:pPr>
              <w:keepNext/>
              <w:keepLines/>
              <w:spacing w:before="60" w:after="60"/>
              <w:rPr>
                <w:rFonts w:ascii="宋体" w:hAnsi="宋体" w:eastAsia="宋体" w:cs="宋体"/>
                <w:smallCaps/>
                <w:sz w:val="20"/>
                <w:szCs w:val="20"/>
                <w:lang w:eastAsia="en-US"/>
              </w:rPr>
            </w:pPr>
            <w:r>
              <w:rPr>
                <w:rFonts w:hint="eastAsia" w:ascii="宋体" w:hAnsi="宋体" w:eastAsia="宋体" w:cs="宋体"/>
                <w:smallCaps/>
                <w:sz w:val="20"/>
                <w:szCs w:val="20"/>
                <w:lang w:eastAsia="en-US"/>
              </w:rPr>
              <w:t>地面站，</w:t>
            </w:r>
          </w:p>
          <w:p>
            <w:pPr>
              <w:keepNext/>
              <w:keepLines/>
              <w:spacing w:before="60" w:after="60"/>
              <w:rPr>
                <w:sz w:val="20"/>
                <w:szCs w:val="20"/>
                <w:lang w:eastAsia="en-US"/>
              </w:rPr>
            </w:pPr>
            <w:r>
              <w:rPr>
                <w:rFonts w:hint="eastAsia" w:ascii="宋体" w:hAnsi="宋体" w:eastAsia="宋体" w:cs="宋体"/>
                <w:smallCaps/>
                <w:sz w:val="20"/>
                <w:szCs w:val="20"/>
                <w:lang w:eastAsia="en-US"/>
              </w:rPr>
              <w:t>高密度</w:t>
            </w:r>
            <w:r>
              <w:rPr>
                <w:rFonts w:hint="eastAsia" w:ascii="宋体" w:hAnsi="宋体" w:eastAsia="宋体" w:cs="宋体"/>
                <w:smallCaps/>
                <w:sz w:val="20"/>
                <w:szCs w:val="20"/>
                <w:lang w:eastAsia="zh-CN"/>
              </w:rPr>
              <w:t>，</w:t>
            </w:r>
            <w:r>
              <w:rPr>
                <w:rFonts w:eastAsia="Calibri"/>
                <w:smallCaps/>
                <w:sz w:val="20"/>
                <w:szCs w:val="20"/>
                <w:lang w:eastAsia="en-US"/>
              </w:rPr>
              <w:t>100 </w:t>
            </w:r>
            <w:r>
              <w:rPr>
                <w:sz w:val="20"/>
                <w:szCs w:val="20"/>
                <w:lang w:eastAsia="en-US"/>
              </w:rPr>
              <w:t>km</w:t>
            </w:r>
          </w:p>
        </w:tc>
        <w:tc>
          <w:tcPr>
            <w:tcW w:w="911" w:type="pct"/>
            <w:shd w:val="clear" w:color="auto" w:fill="auto"/>
          </w:tcPr>
          <w:p>
            <w:pPr>
              <w:spacing w:before="60" w:after="60"/>
              <w:rPr>
                <w:rFonts w:eastAsia="Verdana" w:cs="Segoe UI"/>
                <w:sz w:val="20"/>
                <w:szCs w:val="20"/>
                <w:lang w:eastAsia="en-US"/>
              </w:rPr>
            </w:pPr>
          </w:p>
        </w:tc>
        <w:tc>
          <w:tcPr>
            <w:tcW w:w="911" w:type="pct"/>
            <w:shd w:val="clear" w:color="auto" w:fill="auto"/>
          </w:tcPr>
          <w:p>
            <w:pPr>
              <w:spacing w:before="60" w:after="60"/>
              <w:rPr>
                <w:rFonts w:eastAsia="Verdana" w:cs="Segoe UI"/>
                <w:sz w:val="20"/>
                <w:szCs w:val="20"/>
                <w:lang w:eastAsia="en-US"/>
              </w:rPr>
            </w:pPr>
          </w:p>
        </w:tc>
        <w:tc>
          <w:tcPr>
            <w:tcW w:w="836" w:type="pct"/>
            <w:tcBorders>
              <w:right w:val="single" w:color="A6A6A6" w:sz="8" w:space="0"/>
            </w:tcBorders>
            <w:shd w:val="clear" w:color="auto" w:fill="auto"/>
          </w:tcPr>
          <w:p>
            <w:pPr>
              <w:spacing w:before="60" w:after="60"/>
              <w:rPr>
                <w:rFonts w:eastAsia="Verdana" w:cs="Segoe UI"/>
                <w:sz w:val="20"/>
                <w:szCs w:val="20"/>
                <w:lang w:eastAsia="en-US"/>
              </w:rPr>
            </w:pPr>
          </w:p>
        </w:tc>
        <w:tc>
          <w:tcPr>
            <w:tcW w:w="830" w:type="pct"/>
            <w:tcBorders>
              <w:left w:val="single" w:color="A6A6A6" w:sz="8" w:space="0"/>
            </w:tcBorders>
            <w:shd w:val="clear" w:color="auto" w:fill="auto"/>
          </w:tcPr>
          <w:p>
            <w:pPr>
              <w:spacing w:before="60" w:after="60"/>
              <w:rPr>
                <w:rFonts w:eastAsia="Verdana" w:cs="Segoe UI"/>
                <w:sz w:val="20"/>
                <w:szCs w:val="20"/>
                <w:lang w:eastAsia="en-US"/>
              </w:rPr>
            </w:pPr>
          </w:p>
        </w:tc>
      </w:tr>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693" w:hRule="atLeast"/>
        </w:trPr>
        <w:tc>
          <w:tcPr>
            <w:tcW w:w="2979" w:type="dxa"/>
            <w:shd w:val="clear" w:color="auto" w:fill="auto"/>
            <w:vAlign w:val="center"/>
          </w:tcPr>
          <w:p>
            <w:pPr>
              <w:keepNext/>
              <w:keepLines/>
              <w:spacing w:before="60" w:after="60"/>
              <w:ind w:left="100" w:hanging="100" w:hangingChars="50"/>
              <w:rPr>
                <w:sz w:val="20"/>
                <w:szCs w:val="20"/>
                <w:lang w:eastAsia="zh-CN"/>
              </w:rPr>
            </w:pPr>
            <w:r>
              <w:rPr>
                <w:rFonts w:hint="eastAsia" w:ascii="宋体" w:hAnsi="宋体" w:eastAsia="宋体" w:cs="宋体"/>
                <w:smallCaps/>
                <w:sz w:val="20"/>
                <w:szCs w:val="20"/>
                <w:lang w:eastAsia="zh-CN"/>
              </w:rPr>
              <w:t>高空陆地站，标准密度</w:t>
            </w:r>
            <w:r>
              <w:rPr>
                <w:rFonts w:eastAsia="Calibri"/>
                <w:smallCaps/>
                <w:sz w:val="20"/>
                <w:szCs w:val="20"/>
                <w:lang w:eastAsia="zh-CN"/>
              </w:rPr>
              <w:t>500 </w:t>
            </w:r>
            <w:r>
              <w:rPr>
                <w:sz w:val="20"/>
                <w:szCs w:val="20"/>
                <w:lang w:eastAsia="zh-CN"/>
              </w:rPr>
              <w:t>km</w:t>
            </w:r>
          </w:p>
        </w:tc>
        <w:tc>
          <w:tcPr>
            <w:tcW w:w="911" w:type="pct"/>
            <w:shd w:val="clear" w:color="auto" w:fill="auto"/>
          </w:tcPr>
          <w:p>
            <w:pPr>
              <w:spacing w:before="60" w:after="60"/>
              <w:rPr>
                <w:rFonts w:eastAsia="Verdana" w:cs="Segoe UI"/>
                <w:sz w:val="22"/>
                <w:szCs w:val="22"/>
                <w:lang w:eastAsia="zh-CN"/>
              </w:rPr>
            </w:pPr>
          </w:p>
        </w:tc>
        <w:tc>
          <w:tcPr>
            <w:tcW w:w="911" w:type="pct"/>
            <w:shd w:val="clear" w:color="auto" w:fill="auto"/>
          </w:tcPr>
          <w:p>
            <w:pPr>
              <w:spacing w:before="60" w:after="60"/>
              <w:rPr>
                <w:rFonts w:eastAsia="Verdana" w:cs="Segoe UI"/>
                <w:sz w:val="22"/>
                <w:szCs w:val="22"/>
                <w:lang w:eastAsia="zh-CN"/>
              </w:rPr>
            </w:pPr>
          </w:p>
        </w:tc>
        <w:tc>
          <w:tcPr>
            <w:tcW w:w="836" w:type="pct"/>
            <w:tcBorders>
              <w:right w:val="single" w:color="A6A6A6" w:sz="8" w:space="0"/>
            </w:tcBorders>
            <w:shd w:val="clear" w:color="auto" w:fill="auto"/>
          </w:tcPr>
          <w:p>
            <w:pPr>
              <w:spacing w:before="60" w:after="60"/>
              <w:rPr>
                <w:rFonts w:eastAsia="Verdana" w:cs="Segoe UI"/>
                <w:sz w:val="22"/>
                <w:szCs w:val="22"/>
                <w:lang w:eastAsia="zh-CN"/>
              </w:rPr>
            </w:pPr>
          </w:p>
        </w:tc>
        <w:tc>
          <w:tcPr>
            <w:tcW w:w="830" w:type="pct"/>
            <w:tcBorders>
              <w:left w:val="single" w:color="A6A6A6" w:sz="8" w:space="0"/>
            </w:tcBorders>
            <w:shd w:val="clear" w:color="auto" w:fill="auto"/>
          </w:tcPr>
          <w:p>
            <w:pPr>
              <w:spacing w:before="60" w:after="60"/>
              <w:rPr>
                <w:rFonts w:eastAsia="Verdana" w:cs="Segoe UI"/>
                <w:sz w:val="22"/>
                <w:szCs w:val="22"/>
                <w:lang w:eastAsia="zh-CN"/>
              </w:rPr>
            </w:pPr>
          </w:p>
        </w:tc>
      </w:tr>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693" w:hRule="atLeast"/>
        </w:trPr>
        <w:tc>
          <w:tcPr>
            <w:tcW w:w="2979" w:type="dxa"/>
            <w:shd w:val="clear" w:color="auto" w:fill="auto"/>
            <w:vAlign w:val="center"/>
          </w:tcPr>
          <w:p>
            <w:pPr>
              <w:keepNext/>
              <w:keepLines/>
              <w:spacing w:before="60" w:after="60"/>
              <w:rPr>
                <w:sz w:val="20"/>
                <w:szCs w:val="20"/>
                <w:lang w:eastAsia="en-US"/>
              </w:rPr>
            </w:pPr>
            <w:r>
              <w:rPr>
                <w:rFonts w:hint="eastAsia" w:ascii="宋体" w:hAnsi="宋体" w:eastAsia="宋体" w:cs="宋体"/>
                <w:smallCaps/>
                <w:color w:val="auto"/>
                <w:sz w:val="20"/>
                <w:szCs w:val="20"/>
                <w:lang w:eastAsia="en-US"/>
              </w:rPr>
              <w:t>高空陆地站，高密度</w:t>
            </w:r>
            <w:r>
              <w:rPr>
                <w:rFonts w:hint="eastAsia" w:ascii="宋体" w:hAnsi="宋体" w:eastAsia="宋体" w:cs="宋体"/>
                <w:smallCaps/>
                <w:color w:val="auto"/>
                <w:sz w:val="20"/>
                <w:szCs w:val="20"/>
                <w:lang w:eastAsia="zh-CN"/>
              </w:rPr>
              <w:t xml:space="preserve"> </w:t>
            </w:r>
            <w:r>
              <w:rPr>
                <w:rFonts w:eastAsia="Calibri"/>
                <w:smallCaps/>
                <w:color w:val="auto"/>
                <w:sz w:val="20"/>
                <w:szCs w:val="20"/>
                <w:lang w:eastAsia="en-US"/>
              </w:rPr>
              <w:t>200</w:t>
            </w:r>
            <w:r>
              <w:rPr>
                <w:rFonts w:eastAsia="Calibri"/>
                <w:smallCaps/>
                <w:sz w:val="20"/>
                <w:szCs w:val="20"/>
                <w:lang w:eastAsia="en-US"/>
              </w:rPr>
              <w:t> </w:t>
            </w:r>
            <w:r>
              <w:rPr>
                <w:sz w:val="20"/>
                <w:szCs w:val="20"/>
                <w:lang w:eastAsia="en-US"/>
              </w:rPr>
              <w:t>km</w:t>
            </w:r>
          </w:p>
        </w:tc>
        <w:tc>
          <w:tcPr>
            <w:tcW w:w="911" w:type="pct"/>
            <w:shd w:val="clear" w:color="auto" w:fill="auto"/>
          </w:tcPr>
          <w:p>
            <w:pPr>
              <w:spacing w:before="60" w:after="60"/>
              <w:rPr>
                <w:rFonts w:eastAsia="Verdana" w:cs="Segoe UI"/>
                <w:sz w:val="22"/>
                <w:szCs w:val="22"/>
                <w:lang w:eastAsia="en-US"/>
              </w:rPr>
            </w:pPr>
          </w:p>
        </w:tc>
        <w:tc>
          <w:tcPr>
            <w:tcW w:w="911" w:type="pct"/>
            <w:shd w:val="clear" w:color="auto" w:fill="auto"/>
          </w:tcPr>
          <w:p>
            <w:pPr>
              <w:spacing w:before="60" w:after="60"/>
              <w:rPr>
                <w:rFonts w:eastAsia="Verdana" w:cs="Segoe UI"/>
                <w:sz w:val="22"/>
                <w:szCs w:val="22"/>
                <w:lang w:eastAsia="en-US"/>
              </w:rPr>
            </w:pPr>
          </w:p>
        </w:tc>
        <w:tc>
          <w:tcPr>
            <w:tcW w:w="836" w:type="pct"/>
            <w:tcBorders>
              <w:right w:val="single" w:color="A6A6A6" w:sz="8" w:space="0"/>
            </w:tcBorders>
            <w:shd w:val="clear" w:color="auto" w:fill="auto"/>
          </w:tcPr>
          <w:p>
            <w:pPr>
              <w:spacing w:before="60" w:after="60"/>
              <w:rPr>
                <w:rFonts w:eastAsia="Verdana" w:cs="Segoe UI"/>
                <w:sz w:val="22"/>
                <w:szCs w:val="22"/>
                <w:lang w:eastAsia="en-US"/>
              </w:rPr>
            </w:pPr>
          </w:p>
        </w:tc>
        <w:tc>
          <w:tcPr>
            <w:tcW w:w="830" w:type="pct"/>
            <w:tcBorders>
              <w:left w:val="single" w:color="A6A6A6" w:sz="8" w:space="0"/>
            </w:tcBorders>
            <w:shd w:val="clear" w:color="auto" w:fill="auto"/>
          </w:tcPr>
          <w:p>
            <w:pPr>
              <w:spacing w:before="60" w:after="60"/>
              <w:rPr>
                <w:rFonts w:eastAsia="Verdana" w:cs="Segoe UI"/>
                <w:sz w:val="22"/>
                <w:szCs w:val="22"/>
                <w:lang w:eastAsia="en-US"/>
              </w:rPr>
            </w:pPr>
          </w:p>
        </w:tc>
      </w:tr>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693" w:hRule="atLeast"/>
        </w:trPr>
        <w:tc>
          <w:tcPr>
            <w:tcW w:w="2979" w:type="dxa"/>
            <w:shd w:val="clear" w:color="auto" w:fill="auto"/>
            <w:vAlign w:val="center"/>
          </w:tcPr>
          <w:p>
            <w:pPr>
              <w:keepNext/>
              <w:keepLines/>
              <w:spacing w:before="60" w:after="60"/>
              <w:rPr>
                <w:rFonts w:ascii="宋体" w:hAnsi="宋体" w:eastAsia="宋体" w:cs="宋体"/>
                <w:sz w:val="20"/>
                <w:szCs w:val="20"/>
                <w:lang w:eastAsia="en-US"/>
              </w:rPr>
            </w:pPr>
            <w:r>
              <w:rPr>
                <w:rFonts w:hint="eastAsia" w:ascii="宋体" w:hAnsi="宋体" w:eastAsia="宋体" w:cs="宋体"/>
                <w:sz w:val="20"/>
                <w:szCs w:val="20"/>
                <w:lang w:eastAsia="en-US"/>
              </w:rPr>
              <w:t>高空海洋站</w:t>
            </w:r>
          </w:p>
          <w:p>
            <w:pPr>
              <w:keepNext/>
              <w:keepLines/>
              <w:spacing w:before="60" w:after="60"/>
              <w:rPr>
                <w:sz w:val="20"/>
                <w:szCs w:val="20"/>
                <w:lang w:eastAsia="en-US"/>
              </w:rPr>
            </w:pPr>
            <w:r>
              <w:rPr>
                <w:sz w:val="20"/>
                <w:szCs w:val="20"/>
                <w:lang w:eastAsia="en-US"/>
              </w:rPr>
              <w:t>1000 km</w:t>
            </w:r>
          </w:p>
        </w:tc>
        <w:tc>
          <w:tcPr>
            <w:tcW w:w="911" w:type="pct"/>
            <w:shd w:val="clear" w:color="auto" w:fill="auto"/>
          </w:tcPr>
          <w:p>
            <w:pPr>
              <w:spacing w:before="60" w:after="60"/>
              <w:rPr>
                <w:rFonts w:eastAsia="Verdana" w:cs="Segoe UI"/>
                <w:sz w:val="22"/>
                <w:szCs w:val="22"/>
                <w:lang w:eastAsia="en-US"/>
              </w:rPr>
            </w:pPr>
          </w:p>
        </w:tc>
        <w:tc>
          <w:tcPr>
            <w:tcW w:w="911" w:type="pct"/>
            <w:shd w:val="clear" w:color="auto" w:fill="auto"/>
          </w:tcPr>
          <w:p>
            <w:pPr>
              <w:spacing w:before="60" w:after="60"/>
              <w:rPr>
                <w:rFonts w:eastAsia="Verdana" w:cs="Segoe UI"/>
                <w:sz w:val="22"/>
                <w:szCs w:val="22"/>
                <w:lang w:eastAsia="en-US"/>
              </w:rPr>
            </w:pPr>
          </w:p>
        </w:tc>
        <w:tc>
          <w:tcPr>
            <w:tcW w:w="836" w:type="pct"/>
            <w:tcBorders>
              <w:right w:val="single" w:color="A6A6A6" w:sz="8" w:space="0"/>
            </w:tcBorders>
            <w:shd w:val="clear" w:color="auto" w:fill="auto"/>
          </w:tcPr>
          <w:p>
            <w:pPr>
              <w:spacing w:before="60" w:after="60"/>
              <w:rPr>
                <w:rFonts w:eastAsia="Verdana" w:cs="Segoe UI"/>
                <w:sz w:val="22"/>
                <w:szCs w:val="22"/>
                <w:lang w:eastAsia="en-US"/>
              </w:rPr>
            </w:pPr>
          </w:p>
        </w:tc>
        <w:tc>
          <w:tcPr>
            <w:tcW w:w="830" w:type="pct"/>
            <w:tcBorders>
              <w:left w:val="single" w:color="A6A6A6" w:sz="8" w:space="0"/>
            </w:tcBorders>
            <w:shd w:val="clear" w:color="auto" w:fill="auto"/>
          </w:tcPr>
          <w:p>
            <w:pPr>
              <w:spacing w:before="60" w:after="60"/>
              <w:rPr>
                <w:rFonts w:eastAsia="Verdana" w:cs="Segoe UI"/>
                <w:sz w:val="22"/>
                <w:szCs w:val="22"/>
                <w:lang w:eastAsia="en-US"/>
              </w:rPr>
            </w:pPr>
          </w:p>
        </w:tc>
      </w:tr>
      <w:tr>
        <w:tblPrEx>
          <w:tblBorders>
            <w:top w:val="single" w:color="BFBFBF" w:sz="8" w:space="0"/>
            <w:left w:val="single" w:color="BFBFBF" w:sz="8" w:space="0"/>
            <w:bottom w:val="single" w:color="BFBFBF" w:sz="8" w:space="0"/>
            <w:right w:val="single" w:color="BFBFBF" w:sz="8" w:space="0"/>
            <w:insideH w:val="single" w:color="BFBFBF" w:sz="8" w:space="0"/>
            <w:insideV w:val="single" w:color="BFBFBF" w:sz="8" w:space="0"/>
          </w:tblBorders>
          <w:tblCellMar>
            <w:top w:w="0" w:type="dxa"/>
            <w:left w:w="108" w:type="dxa"/>
            <w:bottom w:w="0" w:type="dxa"/>
            <w:right w:w="108" w:type="dxa"/>
          </w:tblCellMar>
        </w:tblPrEx>
        <w:trPr>
          <w:trHeight w:val="505" w:hRule="atLeast"/>
        </w:trPr>
        <w:tc>
          <w:tcPr>
            <w:tcW w:w="2979" w:type="dxa"/>
            <w:shd w:val="clear" w:color="auto" w:fill="auto"/>
            <w:vAlign w:val="center"/>
          </w:tcPr>
          <w:p>
            <w:pPr>
              <w:keepNext/>
              <w:keepLines/>
              <w:spacing w:before="60" w:after="60"/>
              <w:rPr>
                <w:rFonts w:ascii="宋体" w:hAnsi="宋体" w:eastAsia="宋体" w:cs="宋体"/>
                <w:smallCaps/>
                <w:sz w:val="20"/>
                <w:szCs w:val="20"/>
                <w:lang w:eastAsia="en-US"/>
              </w:rPr>
            </w:pPr>
            <w:r>
              <w:rPr>
                <w:rFonts w:hint="eastAsia" w:ascii="宋体" w:hAnsi="宋体" w:eastAsia="宋体" w:cs="宋体"/>
                <w:smallCaps/>
                <w:sz w:val="20"/>
                <w:szCs w:val="20"/>
                <w:lang w:eastAsia="en-US"/>
              </w:rPr>
              <w:t>海面</w:t>
            </w:r>
            <w:r>
              <w:rPr>
                <w:rFonts w:hint="eastAsia" w:ascii="宋体" w:hAnsi="宋体" w:eastAsia="宋体" w:cs="宋体"/>
                <w:smallCaps/>
                <w:sz w:val="20"/>
                <w:szCs w:val="20"/>
                <w:lang w:eastAsia="zh-CN"/>
              </w:rPr>
              <w:t>观测</w:t>
            </w:r>
            <w:r>
              <w:rPr>
                <w:rFonts w:hint="eastAsia" w:ascii="宋体" w:hAnsi="宋体" w:eastAsia="宋体" w:cs="宋体"/>
                <w:smallCaps/>
                <w:sz w:val="20"/>
                <w:szCs w:val="20"/>
                <w:lang w:eastAsia="en-US"/>
              </w:rPr>
              <w:t>站</w:t>
            </w:r>
          </w:p>
          <w:p>
            <w:pPr>
              <w:keepNext/>
              <w:keepLines/>
              <w:spacing w:before="60" w:after="60"/>
              <w:rPr>
                <w:sz w:val="20"/>
                <w:szCs w:val="20"/>
                <w:lang w:eastAsia="en-US"/>
              </w:rPr>
            </w:pPr>
            <w:r>
              <w:rPr>
                <w:rFonts w:eastAsia="Calibri"/>
                <w:smallCaps/>
                <w:sz w:val="20"/>
                <w:szCs w:val="20"/>
                <w:lang w:eastAsia="en-US"/>
              </w:rPr>
              <w:t>500 </w:t>
            </w:r>
            <w:r>
              <w:rPr>
                <w:sz w:val="20"/>
                <w:szCs w:val="20"/>
                <w:lang w:eastAsia="en-US"/>
              </w:rPr>
              <w:t>km</w:t>
            </w:r>
          </w:p>
        </w:tc>
        <w:tc>
          <w:tcPr>
            <w:tcW w:w="911" w:type="pct"/>
            <w:shd w:val="clear" w:color="auto" w:fill="auto"/>
          </w:tcPr>
          <w:p>
            <w:pPr>
              <w:spacing w:before="60" w:after="60"/>
              <w:rPr>
                <w:rFonts w:eastAsia="Verdana" w:cs="Segoe UI"/>
                <w:sz w:val="20"/>
                <w:szCs w:val="20"/>
                <w:lang w:eastAsia="en-US"/>
              </w:rPr>
            </w:pPr>
          </w:p>
        </w:tc>
        <w:tc>
          <w:tcPr>
            <w:tcW w:w="911" w:type="pct"/>
            <w:shd w:val="clear" w:color="auto" w:fill="auto"/>
          </w:tcPr>
          <w:p>
            <w:pPr>
              <w:spacing w:before="60" w:after="60"/>
              <w:rPr>
                <w:rFonts w:eastAsia="Verdana" w:cs="Segoe UI"/>
                <w:sz w:val="20"/>
                <w:szCs w:val="20"/>
                <w:lang w:eastAsia="en-US"/>
              </w:rPr>
            </w:pPr>
          </w:p>
        </w:tc>
        <w:tc>
          <w:tcPr>
            <w:tcW w:w="836" w:type="pct"/>
            <w:tcBorders>
              <w:right w:val="single" w:color="A6A6A6" w:sz="8" w:space="0"/>
            </w:tcBorders>
            <w:shd w:val="clear" w:color="auto" w:fill="auto"/>
          </w:tcPr>
          <w:p>
            <w:pPr>
              <w:spacing w:before="60" w:after="60"/>
              <w:rPr>
                <w:rFonts w:eastAsia="Verdana" w:cs="Segoe UI"/>
                <w:sz w:val="20"/>
                <w:szCs w:val="20"/>
                <w:lang w:eastAsia="en-US"/>
              </w:rPr>
            </w:pPr>
          </w:p>
        </w:tc>
        <w:tc>
          <w:tcPr>
            <w:tcW w:w="830" w:type="pct"/>
            <w:tcBorders>
              <w:left w:val="single" w:color="A6A6A6" w:sz="8" w:space="0"/>
            </w:tcBorders>
            <w:shd w:val="clear" w:color="auto" w:fill="auto"/>
          </w:tcPr>
          <w:p>
            <w:pPr>
              <w:spacing w:before="60" w:after="60"/>
              <w:rPr>
                <w:rFonts w:eastAsia="Verdana" w:cs="Segoe UI"/>
                <w:sz w:val="20"/>
                <w:szCs w:val="20"/>
                <w:lang w:eastAsia="en-US"/>
              </w:rPr>
            </w:pPr>
          </w:p>
        </w:tc>
      </w:tr>
    </w:tbl>
    <w:p>
      <w:pPr>
        <w:spacing w:before="120" w:after="240"/>
        <w:jc w:val="center"/>
        <w:rPr>
          <w:rFonts w:ascii="宋体" w:hAnsi="宋体" w:eastAsia="宋体" w:cs="宋体"/>
          <w:i/>
          <w:iCs/>
          <w:lang w:eastAsia="zh-CN"/>
        </w:rPr>
      </w:pPr>
      <w:r>
        <w:rPr>
          <w:rFonts w:hint="eastAsia" w:ascii="宋体" w:hAnsi="宋体" w:eastAsia="宋体" w:cs="宋体"/>
          <w:lang w:eastAsia="zh-CN"/>
        </w:rPr>
        <w:t>***现有地面、高空和海洋观测网地图（其中注明了差距所在位置）占位符***</w:t>
      </w:r>
    </w:p>
    <w:p>
      <w:pPr>
        <w:spacing w:after="240" w:line="240" w:lineRule="exact"/>
        <w:rPr>
          <w:rFonts w:ascii="宋体" w:hAnsi="宋体" w:eastAsia="宋体" w:cs="宋体"/>
          <w:lang w:eastAsia="zh-CN"/>
        </w:rPr>
      </w:pPr>
      <w:r>
        <w:rPr>
          <w:rFonts w:hint="eastAsia" w:ascii="宋体" w:hAnsi="宋体" w:eastAsia="宋体" w:cs="宋体"/>
          <w:lang w:eastAsia="zh-CN"/>
        </w:rPr>
        <w:t>表</w:t>
      </w:r>
      <w:r>
        <w:rPr>
          <w:rFonts w:eastAsia="宋体" w:cs="Verdana"/>
          <w:lang w:eastAsia="zh-CN"/>
        </w:rPr>
        <w:t>5.6</w:t>
      </w:r>
      <w:r>
        <w:rPr>
          <w:rFonts w:hint="eastAsia" w:ascii="宋体" w:hAnsi="宋体" w:eastAsia="宋体" w:cs="宋体"/>
          <w:lang w:eastAsia="zh-CN"/>
        </w:rPr>
        <w:t>总结了符合</w:t>
      </w:r>
      <w:r>
        <w:rPr>
          <w:rFonts w:eastAsia="宋体" w:cs="Verdana"/>
          <w:lang w:eastAsia="zh-CN"/>
        </w:rPr>
        <w:t>GBON</w:t>
      </w:r>
      <w:r>
        <w:rPr>
          <w:rFonts w:hint="eastAsia" w:ascii="宋体" w:hAnsi="宋体" w:eastAsia="宋体" w:cs="宋体"/>
          <w:lang w:eastAsia="zh-CN"/>
        </w:rPr>
        <w:t>规则并建议指定为</w:t>
      </w:r>
      <w:r>
        <w:rPr>
          <w:rFonts w:eastAsia="宋体" w:cs="Verdana"/>
          <w:lang w:eastAsia="zh-CN"/>
        </w:rPr>
        <w:t>GBON</w:t>
      </w:r>
      <w:r>
        <w:rPr>
          <w:rFonts w:hint="eastAsia" w:eastAsia="宋体" w:cs="Verdana"/>
          <w:lang w:eastAsia="zh-CN"/>
        </w:rPr>
        <w:t>台站</w:t>
      </w:r>
      <w:r>
        <w:rPr>
          <w:rFonts w:hint="eastAsia" w:ascii="宋体" w:hAnsi="宋体" w:eastAsia="宋体" w:cs="宋体"/>
          <w:lang w:eastAsia="zh-CN"/>
        </w:rPr>
        <w:t>的地面、高空和海洋台站列表。</w:t>
      </w:r>
    </w:p>
    <w:p>
      <w:pPr>
        <w:keepNext/>
        <w:keepLines/>
        <w:spacing w:after="240" w:line="240" w:lineRule="exact"/>
        <w:jc w:val="center"/>
        <w:rPr>
          <w:b/>
          <w:bCs/>
          <w:lang w:eastAsia="zh-CN"/>
        </w:rPr>
      </w:pPr>
      <w:r>
        <w:rPr>
          <w:rFonts w:hint="eastAsia" w:ascii="微软雅黑" w:hAnsi="微软雅黑" w:eastAsia="微软雅黑" w:cs="微软雅黑"/>
          <w:b/>
          <w:bCs/>
          <w:lang w:val="en-US" w:eastAsia="zh-CN"/>
        </w:rPr>
        <w:t>表</w:t>
      </w:r>
      <w:r>
        <w:rPr>
          <w:b/>
          <w:bCs/>
          <w:lang w:eastAsia="zh-CN"/>
        </w:rPr>
        <w:t xml:space="preserve">5.6. </w:t>
      </w:r>
      <w:r>
        <w:rPr>
          <w:rFonts w:hint="eastAsia" w:ascii="微软雅黑" w:hAnsi="微软雅黑" w:eastAsia="微软雅黑" w:cs="微软雅黑"/>
          <w:b/>
          <w:bCs/>
          <w:lang w:eastAsia="zh-CN"/>
        </w:rPr>
        <w:t>建议指定为</w:t>
      </w:r>
      <w:r>
        <w:rPr>
          <w:rFonts w:eastAsia="微软雅黑" w:cs="Verdana"/>
          <w:b/>
          <w:bCs/>
          <w:lang w:eastAsia="zh-CN"/>
        </w:rPr>
        <w:t>GBON</w:t>
      </w:r>
      <w:r>
        <w:rPr>
          <w:rFonts w:hint="eastAsia" w:eastAsia="微软雅黑" w:cs="Verdana"/>
          <w:b/>
          <w:bCs/>
          <w:lang w:eastAsia="zh-CN"/>
        </w:rPr>
        <w:t>台站</w:t>
      </w:r>
      <w:r>
        <w:rPr>
          <w:rFonts w:hint="eastAsia" w:ascii="微软雅黑" w:hAnsi="微软雅黑" w:eastAsia="微软雅黑" w:cs="微软雅黑"/>
          <w:b/>
          <w:bCs/>
          <w:lang w:eastAsia="zh-CN"/>
        </w:rPr>
        <w:t>的现有地面、高空和海洋台站</w:t>
      </w:r>
    </w:p>
    <w:tbl>
      <w:tblPr>
        <w:tblStyle w:val="36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13"/>
        <w:gridCol w:w="3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9" w:hRule="atLeast"/>
        </w:trPr>
        <w:tc>
          <w:tcPr>
            <w:tcW w:w="3406" w:type="pct"/>
            <w:tcBorders>
              <w:top w:val="single" w:color="BFBFBF" w:sz="8" w:space="0"/>
              <w:left w:val="single" w:color="BFBFBF" w:sz="8" w:space="0"/>
              <w:bottom w:val="single" w:color="BFBFBF" w:sz="8" w:space="0"/>
              <w:right w:val="single" w:color="BFBFBF" w:sz="8" w:space="0"/>
            </w:tcBorders>
            <w:shd w:val="clear" w:color="auto" w:fill="auto"/>
            <w:vAlign w:val="center"/>
          </w:tcPr>
          <w:p>
            <w:pPr>
              <w:keepNext/>
              <w:keepLines/>
              <w:spacing w:before="120" w:after="120"/>
              <w:jc w:val="center"/>
              <w:rPr>
                <w:sz w:val="20"/>
                <w:szCs w:val="20"/>
                <w:lang w:eastAsia="en-US"/>
              </w:rPr>
            </w:pPr>
            <w:r>
              <w:rPr>
                <w:rFonts w:hint="eastAsia" w:ascii="宋体" w:hAnsi="宋体" w:eastAsia="宋体" w:cs="宋体"/>
                <w:sz w:val="20"/>
                <w:szCs w:val="20"/>
                <w:lang w:eastAsia="en-US"/>
              </w:rPr>
              <w:t>台站名称</w:t>
            </w:r>
          </w:p>
        </w:tc>
        <w:tc>
          <w:tcPr>
            <w:tcW w:w="1594" w:type="pct"/>
            <w:tcBorders>
              <w:top w:val="single" w:color="BFBFBF" w:sz="8" w:space="0"/>
              <w:left w:val="single" w:color="BFBFBF" w:sz="8" w:space="0"/>
              <w:bottom w:val="single" w:color="BFBFBF" w:sz="8" w:space="0"/>
              <w:right w:val="single" w:color="BFBFBF" w:sz="8" w:space="0"/>
            </w:tcBorders>
            <w:shd w:val="clear" w:color="auto" w:fill="auto"/>
            <w:vAlign w:val="center"/>
          </w:tcPr>
          <w:p>
            <w:pPr>
              <w:keepNext/>
              <w:keepLines/>
              <w:spacing w:before="120" w:after="120"/>
              <w:jc w:val="center"/>
              <w:rPr>
                <w:sz w:val="20"/>
                <w:szCs w:val="20"/>
                <w:lang w:eastAsia="en-US"/>
              </w:rPr>
            </w:pPr>
            <w:r>
              <w:rPr>
                <w:rFonts w:hint="eastAsia" w:ascii="宋体" w:hAnsi="宋体" w:eastAsia="宋体" w:cs="宋体"/>
                <w:sz w:val="20"/>
                <w:szCs w:val="20"/>
                <w:lang w:eastAsia="en-US"/>
              </w:rPr>
              <w:t>台站类型（</w:t>
            </w:r>
            <w:r>
              <w:rPr>
                <w:rFonts w:hint="eastAsia"/>
                <w:sz w:val="20"/>
                <w:szCs w:val="20"/>
                <w:lang w:eastAsia="en-US"/>
              </w:rPr>
              <w:t>S/UA/M</w:t>
            </w:r>
            <w:r>
              <w:rPr>
                <w:rFonts w:hint="eastAsia" w:ascii="宋体" w:hAnsi="宋体" w:eastAsia="宋体" w:cs="宋体"/>
                <w:sz w:val="20"/>
                <w:szCs w:val="20"/>
                <w:lang w:eastAsia="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trPr>
        <w:tc>
          <w:tcPr>
            <w:tcW w:w="3406"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120" w:after="120"/>
              <w:rPr>
                <w:rFonts w:eastAsia="Calibri"/>
                <w:smallCaps/>
                <w:sz w:val="20"/>
                <w:szCs w:val="20"/>
                <w:lang w:eastAsia="en-US"/>
              </w:rPr>
            </w:pPr>
          </w:p>
        </w:tc>
        <w:tc>
          <w:tcPr>
            <w:tcW w:w="159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120" w:after="120"/>
              <w:jc w:val="center"/>
              <w:rPr>
                <w:rFonts w:eastAsia="Segoe UI" w:cs="Segoe UI"/>
                <w:sz w:val="20"/>
                <w:szCs w:val="20"/>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 w:hRule="atLeast"/>
        </w:trPr>
        <w:tc>
          <w:tcPr>
            <w:tcW w:w="3406"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120" w:after="120"/>
              <w:rPr>
                <w:rFonts w:eastAsia="Calibri"/>
                <w:smallCaps/>
                <w:sz w:val="20"/>
                <w:szCs w:val="20"/>
                <w:lang w:eastAsia="en-US"/>
              </w:rPr>
            </w:pPr>
          </w:p>
        </w:tc>
        <w:tc>
          <w:tcPr>
            <w:tcW w:w="159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120" w:after="120"/>
              <w:jc w:val="center"/>
              <w:rPr>
                <w:rFonts w:eastAsia="Segoe UI" w:cs="Segoe UI"/>
                <w:sz w:val="20"/>
                <w:szCs w:val="20"/>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3406"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120" w:after="120"/>
              <w:rPr>
                <w:rFonts w:eastAsia="Calibri"/>
                <w:smallCaps/>
                <w:sz w:val="20"/>
                <w:szCs w:val="20"/>
                <w:lang w:eastAsia="en-US"/>
              </w:rPr>
            </w:pPr>
          </w:p>
        </w:tc>
        <w:tc>
          <w:tcPr>
            <w:tcW w:w="159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120" w:after="120"/>
              <w:jc w:val="center"/>
              <w:rPr>
                <w:rFonts w:eastAsia="Segoe UI" w:cs="Segoe UI"/>
                <w:sz w:val="20"/>
                <w:szCs w:val="20"/>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3406"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120" w:after="120"/>
              <w:rPr>
                <w:rFonts w:eastAsia="Calibri"/>
                <w:smallCaps/>
                <w:sz w:val="20"/>
                <w:szCs w:val="20"/>
                <w:lang w:eastAsia="en-US"/>
              </w:rPr>
            </w:pPr>
          </w:p>
        </w:tc>
        <w:tc>
          <w:tcPr>
            <w:tcW w:w="159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120" w:after="120"/>
              <w:jc w:val="center"/>
              <w:rPr>
                <w:rFonts w:eastAsia="Segoe UI" w:cs="Segoe UI"/>
                <w:sz w:val="20"/>
                <w:szCs w:val="20"/>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3406"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120" w:after="120"/>
              <w:rPr>
                <w:rFonts w:eastAsia="Calibri"/>
                <w:smallCaps/>
                <w:sz w:val="20"/>
                <w:szCs w:val="20"/>
                <w:lang w:eastAsia="en-US"/>
              </w:rPr>
            </w:pPr>
          </w:p>
        </w:tc>
        <w:tc>
          <w:tcPr>
            <w:tcW w:w="159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120" w:after="120"/>
              <w:jc w:val="center"/>
              <w:rPr>
                <w:rFonts w:eastAsia="Segoe UI" w:cs="Segoe UI"/>
                <w:sz w:val="20"/>
                <w:szCs w:val="20"/>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3406"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120" w:after="120"/>
              <w:rPr>
                <w:rFonts w:eastAsia="Calibri"/>
                <w:smallCaps/>
                <w:sz w:val="20"/>
                <w:szCs w:val="20"/>
                <w:lang w:eastAsia="en-US"/>
              </w:rPr>
            </w:pPr>
          </w:p>
        </w:tc>
        <w:tc>
          <w:tcPr>
            <w:tcW w:w="1594" w:type="pct"/>
            <w:tcBorders>
              <w:top w:val="single" w:color="BFBFBF" w:sz="8" w:space="0"/>
              <w:left w:val="single" w:color="BFBFBF" w:sz="8" w:space="0"/>
              <w:bottom w:val="single" w:color="BFBFBF" w:sz="8" w:space="0"/>
              <w:right w:val="single" w:color="BFBFBF" w:sz="8" w:space="0"/>
            </w:tcBorders>
            <w:shd w:val="clear" w:color="auto" w:fill="auto"/>
          </w:tcPr>
          <w:p>
            <w:pPr>
              <w:keepNext/>
              <w:keepLines/>
              <w:spacing w:before="120" w:after="120"/>
              <w:jc w:val="center"/>
              <w:rPr>
                <w:rFonts w:eastAsia="Segoe UI" w:cs="Segoe UI"/>
                <w:sz w:val="20"/>
                <w:szCs w:val="20"/>
                <w:lang w:eastAsia="en-US"/>
              </w:rPr>
            </w:pPr>
          </w:p>
        </w:tc>
      </w:tr>
    </w:tbl>
    <w:p>
      <w:pPr>
        <w:spacing w:before="240" w:after="240"/>
        <w:rPr>
          <w:rFonts w:eastAsia="MS Gothic" w:cs="Segoe UI"/>
          <w:b/>
          <w:bCs/>
          <w:color w:val="000000"/>
          <w:lang w:eastAsia="zh-CN"/>
        </w:rPr>
      </w:pPr>
      <w:bookmarkStart w:id="26" w:name="_Toc105166399"/>
      <w:r>
        <w:rPr>
          <w:rStyle w:val="338"/>
          <w:rFonts w:hint="eastAsia" w:ascii="宋体" w:hAnsi="宋体" w:eastAsia="宋体" w:cs="宋体"/>
          <w:i w:val="0"/>
          <w:iCs w:val="0"/>
          <w:lang w:eastAsia="zh-CN"/>
        </w:rPr>
        <w:t>完成国家</w:t>
      </w:r>
      <w:r>
        <w:rPr>
          <w:rStyle w:val="338"/>
          <w:rFonts w:hint="eastAsia"/>
          <w:i w:val="0"/>
          <w:iCs w:val="0"/>
          <w:lang w:eastAsia="zh-CN"/>
        </w:rPr>
        <w:t>GBON</w:t>
      </w:r>
      <w:r>
        <w:rPr>
          <w:rStyle w:val="338"/>
          <w:rFonts w:hint="eastAsia" w:ascii="宋体" w:hAnsi="宋体" w:eastAsia="宋体" w:cs="宋体"/>
          <w:i w:val="0"/>
          <w:iCs w:val="0"/>
          <w:lang w:eastAsia="zh-CN"/>
        </w:rPr>
        <w:t>差距分析报告的模板见</w:t>
      </w:r>
      <w:r>
        <w:rPr>
          <w:rStyle w:val="338"/>
          <w:rFonts w:hint="eastAsia" w:ascii="宋体" w:hAnsi="宋体" w:eastAsia="宋体" w:cs="宋体"/>
          <w:i w:val="0"/>
          <w:iCs w:val="0"/>
        </w:rPr>
        <w:fldChar w:fldCharType="begin"/>
      </w:r>
      <w:r>
        <w:rPr>
          <w:rStyle w:val="338"/>
          <w:rFonts w:hint="eastAsia" w:ascii="宋体" w:hAnsi="宋体" w:eastAsia="宋体" w:cs="宋体"/>
          <w:i w:val="0"/>
          <w:iCs w:val="0"/>
          <w:lang w:eastAsia="zh-CN"/>
        </w:rPr>
        <w:instrText xml:space="preserve"> HYPERLINK "https://community.wmo.int/en/activity-areas/wigos/gbon/implementation-global-basic-observing-network-gbon/defining-initial-composition-gbon/references-gbon-material" </w:instrText>
      </w:r>
      <w:r>
        <w:rPr>
          <w:rStyle w:val="338"/>
          <w:rFonts w:hint="eastAsia" w:ascii="宋体" w:hAnsi="宋体" w:eastAsia="宋体" w:cs="宋体"/>
          <w:i w:val="0"/>
          <w:iCs w:val="0"/>
        </w:rPr>
        <w:fldChar w:fldCharType="separate"/>
      </w:r>
      <w:r>
        <w:rPr>
          <w:rStyle w:val="43"/>
          <w:rFonts w:eastAsia="宋体" w:cs="Verdana"/>
          <w:i w:val="0"/>
          <w:iCs w:val="0"/>
          <w:lang w:eastAsia="zh-CN"/>
        </w:rPr>
        <w:t>GBON</w:t>
      </w:r>
      <w:r>
        <w:rPr>
          <w:rStyle w:val="43"/>
          <w:rFonts w:hint="eastAsia" w:ascii="宋体" w:hAnsi="宋体" w:eastAsia="宋体" w:cs="宋体"/>
          <w:i w:val="0"/>
          <w:iCs w:val="0"/>
          <w:lang w:eastAsia="zh-CN"/>
        </w:rPr>
        <w:t>材料参考</w:t>
      </w:r>
      <w:r>
        <w:rPr>
          <w:rStyle w:val="338"/>
          <w:rFonts w:hint="eastAsia" w:ascii="宋体" w:hAnsi="宋体" w:eastAsia="宋体" w:cs="宋体"/>
          <w:i w:val="0"/>
          <w:iCs w:val="0"/>
        </w:rPr>
        <w:fldChar w:fldCharType="end"/>
      </w:r>
      <w:r>
        <w:rPr>
          <w:rStyle w:val="338"/>
          <w:rFonts w:hint="eastAsia" w:ascii="宋体" w:hAnsi="宋体" w:eastAsia="宋体" w:cs="宋体"/>
          <w:i w:val="0"/>
          <w:iCs w:val="0"/>
          <w:lang w:eastAsia="zh-CN"/>
        </w:rPr>
        <w:t>。</w:t>
      </w:r>
      <w:r>
        <w:rPr>
          <w:rStyle w:val="338"/>
          <w:rFonts w:hint="eastAsia" w:ascii="宋体" w:hAnsi="宋体" w:eastAsia="宋体" w:cs="宋体"/>
          <w:i/>
          <w:iCs/>
          <w:lang w:eastAsia="zh-CN"/>
        </w:rPr>
        <w:t>（编者注：适时会上传至网站）。</w:t>
      </w:r>
    </w:p>
    <w:p>
      <w:pPr>
        <w:spacing w:after="240" w:line="240" w:lineRule="exact"/>
        <w:rPr>
          <w:rFonts w:ascii="微软雅黑" w:hAnsi="微软雅黑" w:eastAsia="微软雅黑" w:cs="微软雅黑"/>
          <w:b/>
          <w:bCs/>
          <w:color w:val="000000"/>
          <w:lang w:eastAsia="zh-CN"/>
        </w:rPr>
      </w:pPr>
      <w:r>
        <w:rPr>
          <w:rFonts w:eastAsia="MS Gothic" w:cs="Segoe UI"/>
          <w:b/>
          <w:bCs/>
          <w:color w:val="000000"/>
          <w:lang w:eastAsia="zh-CN"/>
        </w:rPr>
        <w:t>5.2.2</w:t>
      </w:r>
      <w:r>
        <w:rPr>
          <w:rFonts w:eastAsia="MS Gothic" w:cs="Segoe UI"/>
          <w:b/>
          <w:bCs/>
          <w:color w:val="000000"/>
          <w:lang w:eastAsia="zh-CN"/>
        </w:rPr>
        <w:tab/>
      </w:r>
      <w:bookmarkEnd w:id="26"/>
      <w:r>
        <w:rPr>
          <w:rFonts w:hint="eastAsia" w:eastAsia="MS Gothic" w:cs="Segoe UI"/>
          <w:b/>
          <w:bCs/>
          <w:color w:val="000000"/>
          <w:lang w:eastAsia="zh-CN"/>
        </w:rPr>
        <w:t>GBON</w:t>
      </w:r>
      <w:r>
        <w:rPr>
          <w:rFonts w:hint="eastAsia" w:ascii="微软雅黑" w:hAnsi="微软雅黑" w:eastAsia="微软雅黑" w:cs="微软雅黑"/>
          <w:b/>
          <w:bCs/>
          <w:color w:val="000000"/>
          <w:lang w:eastAsia="zh-CN"/>
        </w:rPr>
        <w:t>实施和业务的进一步考虑</w:t>
      </w:r>
    </w:p>
    <w:p>
      <w:pPr>
        <w:spacing w:after="240" w:line="240" w:lineRule="exact"/>
        <w:textAlignment w:val="baseline"/>
        <w:rPr>
          <w:rFonts w:ascii="宋体" w:hAnsi="宋体" w:eastAsia="宋体" w:cs="宋体"/>
          <w:lang w:eastAsia="zh-CN"/>
        </w:rPr>
      </w:pPr>
      <w:r>
        <w:rPr>
          <w:rFonts w:hint="eastAsia" w:ascii="宋体" w:hAnsi="宋体" w:eastAsia="宋体" w:cs="宋体"/>
          <w:lang w:eastAsia="zh-CN"/>
        </w:rPr>
        <w:t>即便得到了差距分析结果，也尚未调查差距背后的原因。根据国家</w:t>
      </w:r>
      <w:r>
        <w:rPr>
          <w:rFonts w:eastAsia="宋体" w:cs="Verdana"/>
          <w:lang w:eastAsia="zh-CN"/>
        </w:rPr>
        <w:t>GBON</w:t>
      </w:r>
      <w:r>
        <w:rPr>
          <w:rFonts w:hint="eastAsia" w:ascii="宋体" w:hAnsi="宋体" w:eastAsia="宋体" w:cs="宋体"/>
          <w:lang w:eastAsia="zh-CN"/>
        </w:rPr>
        <w:t>差距分析的结果，将制定详细的国家</w:t>
      </w:r>
      <w:r>
        <w:rPr>
          <w:rFonts w:eastAsia="宋体" w:cs="Verdana"/>
          <w:lang w:eastAsia="zh-CN"/>
        </w:rPr>
        <w:t>GBON</w:t>
      </w:r>
      <w:r>
        <w:rPr>
          <w:rFonts w:hint="eastAsia" w:ascii="宋体" w:hAnsi="宋体" w:eastAsia="宋体" w:cs="宋体"/>
          <w:lang w:eastAsia="zh-CN"/>
        </w:rPr>
        <w:t>贡献计划，定义国家</w:t>
      </w:r>
      <w:r>
        <w:rPr>
          <w:rFonts w:eastAsia="宋体" w:cs="Verdana"/>
          <w:lang w:eastAsia="zh-CN"/>
        </w:rPr>
        <w:t>GBON</w:t>
      </w:r>
      <w:r>
        <w:rPr>
          <w:rFonts w:hint="eastAsia" w:ascii="宋体" w:hAnsi="宋体" w:eastAsia="宋体" w:cs="宋体"/>
          <w:lang w:eastAsia="zh-CN"/>
        </w:rPr>
        <w:t>目标并提出相应的行动，进而完全符合</w:t>
      </w:r>
      <w:r>
        <w:rPr>
          <w:rFonts w:eastAsia="宋体" w:cs="Verdana"/>
          <w:lang w:eastAsia="zh-CN"/>
        </w:rPr>
        <w:t>GBON</w:t>
      </w:r>
      <w:r>
        <w:rPr>
          <w:rFonts w:hint="eastAsia" w:ascii="宋体" w:hAnsi="宋体" w:eastAsia="宋体" w:cs="宋体"/>
          <w:lang w:eastAsia="zh-CN"/>
        </w:rPr>
        <w:t>的要求。</w:t>
      </w:r>
    </w:p>
    <w:p>
      <w:pPr>
        <w:spacing w:after="240" w:line="240" w:lineRule="exact"/>
        <w:textAlignment w:val="baseline"/>
        <w:rPr>
          <w:rFonts w:ascii="宋体" w:hAnsi="宋体" w:eastAsia="宋体" w:cs="宋体"/>
          <w:lang w:eastAsia="zh-CN"/>
        </w:rPr>
      </w:pPr>
      <w:r>
        <w:rPr>
          <w:rFonts w:hint="eastAsia" w:ascii="宋体" w:hAnsi="宋体" w:eastAsia="宋体" w:cs="宋体"/>
          <w:lang w:eastAsia="zh-CN"/>
        </w:rPr>
        <w:t>各会员必须指定所需最少数量的地面、高空和海洋台站作为其对</w:t>
      </w:r>
      <w:r>
        <w:rPr>
          <w:rFonts w:eastAsia="宋体" w:cs="Verdana"/>
          <w:lang w:eastAsia="zh-CN"/>
        </w:rPr>
        <w:t>GBON</w:t>
      </w:r>
      <w:r>
        <w:rPr>
          <w:rFonts w:hint="eastAsia" w:ascii="宋体" w:hAnsi="宋体" w:eastAsia="宋体" w:cs="宋体"/>
          <w:lang w:eastAsia="zh-CN"/>
        </w:rPr>
        <w:t>的贡献。已经符合</w:t>
      </w:r>
      <w:r>
        <w:rPr>
          <w:rFonts w:eastAsia="宋体" w:cs="Verdana"/>
          <w:lang w:eastAsia="zh-CN"/>
        </w:rPr>
        <w:t>GBON</w:t>
      </w:r>
      <w:r>
        <w:rPr>
          <w:rFonts w:hint="eastAsia" w:ascii="宋体" w:hAnsi="宋体" w:eastAsia="宋体" w:cs="宋体"/>
          <w:lang w:eastAsia="zh-CN"/>
        </w:rPr>
        <w:t>要求的台站在</w:t>
      </w:r>
      <w:r>
        <w:fldChar w:fldCharType="begin"/>
      </w:r>
      <w:r>
        <w:rPr>
          <w:rFonts w:eastAsia="宋体" w:cs="Verdana"/>
          <w:lang w:eastAsia="zh-CN"/>
        </w:rPr>
        <w:instrText xml:space="preserve"> HYPERLINK "https://oscar.wmo.int/surface/" </w:instrText>
      </w:r>
      <w:r>
        <w:fldChar w:fldCharType="separate"/>
      </w:r>
      <w:r>
        <w:rPr>
          <w:rStyle w:val="43"/>
          <w:rFonts w:hint="eastAsia" w:eastAsia="宋体" w:cs="Verdana"/>
          <w:lang w:eastAsia="zh-CN"/>
        </w:rPr>
        <w:t>OSCAR/地表</w:t>
      </w:r>
      <w:r>
        <w:rPr>
          <w:rStyle w:val="43"/>
          <w:rFonts w:eastAsia="宋体" w:cs="Verdana"/>
        </w:rPr>
        <w:fldChar w:fldCharType="end"/>
      </w:r>
      <w:r>
        <w:rPr>
          <w:rFonts w:hint="eastAsia" w:ascii="宋体" w:hAnsi="宋体" w:eastAsia="宋体" w:cs="宋体"/>
          <w:lang w:eastAsia="zh-CN"/>
        </w:rPr>
        <w:t>中登记和达到元数据要求后，应被视为台站的初始子集并被纳入</w:t>
      </w:r>
      <w:r>
        <w:rPr>
          <w:rFonts w:eastAsia="宋体" w:cs="Verdana"/>
          <w:lang w:eastAsia="zh-CN"/>
        </w:rPr>
        <w:t>GBON</w:t>
      </w:r>
      <w:r>
        <w:rPr>
          <w:rFonts w:hint="eastAsia" w:ascii="宋体" w:hAnsi="宋体" w:eastAsia="宋体" w:cs="宋体"/>
          <w:lang w:eastAsia="zh-CN"/>
        </w:rPr>
        <w:t>。</w:t>
      </w:r>
    </w:p>
    <w:p>
      <w:pPr>
        <w:spacing w:after="240" w:line="240" w:lineRule="exact"/>
        <w:textAlignment w:val="baseline"/>
        <w:rPr>
          <w:rFonts w:eastAsia="Times New Roman" w:cs="Segoe UI"/>
          <w:lang w:eastAsia="zh-CN"/>
        </w:rPr>
      </w:pPr>
      <w:r>
        <w:rPr>
          <w:rFonts w:hint="eastAsia" w:ascii="宋体" w:hAnsi="宋体" w:eastAsia="宋体" w:cs="宋体"/>
          <w:lang w:eastAsia="zh-CN"/>
        </w:rPr>
        <w:t>如果国家观测网络不符合</w:t>
      </w:r>
      <w:r>
        <w:rPr>
          <w:rFonts w:hint="eastAsia" w:eastAsia="Times New Roman" w:cs="Segoe UI"/>
          <w:lang w:eastAsia="zh-CN"/>
        </w:rPr>
        <w:t>GBON</w:t>
      </w:r>
      <w:r>
        <w:rPr>
          <w:rFonts w:hint="eastAsia" w:ascii="宋体" w:hAnsi="宋体" w:eastAsia="宋体" w:cs="宋体"/>
          <w:lang w:eastAsia="zh-CN"/>
        </w:rPr>
        <w:t>的某项要求，并且出于某种原因，不打算采取行动来满足该要求，则必须根据《</w:t>
      </w:r>
      <w:r>
        <w:rPr>
          <w:rFonts w:hint="eastAsia" w:eastAsia="Times New Roman" w:cs="Segoe UI"/>
          <w:lang w:eastAsia="zh-CN"/>
        </w:rPr>
        <w:t>WMO</w:t>
      </w:r>
      <w:r>
        <w:rPr>
          <w:rFonts w:hint="eastAsia" w:ascii="宋体" w:hAnsi="宋体" w:eastAsia="宋体" w:cs="宋体"/>
          <w:lang w:eastAsia="zh-CN"/>
        </w:rPr>
        <w:t>公约》第</w:t>
      </w:r>
      <w:r>
        <w:rPr>
          <w:rFonts w:hint="eastAsia" w:eastAsia="Times New Roman" w:cs="Segoe UI"/>
          <w:lang w:eastAsia="zh-CN"/>
        </w:rPr>
        <w:t>9</w:t>
      </w:r>
      <w:r>
        <w:rPr>
          <w:rFonts w:hint="eastAsia" w:ascii="宋体" w:hAnsi="宋体" w:eastAsia="宋体" w:cs="宋体"/>
          <w:lang w:eastAsia="zh-CN"/>
        </w:rPr>
        <w:t>条寻求豁免，并将原因报告给</w:t>
      </w:r>
      <w:r>
        <w:rPr>
          <w:rFonts w:hint="eastAsia" w:eastAsia="Times New Roman" w:cs="Segoe UI"/>
          <w:lang w:eastAsia="zh-CN"/>
        </w:rPr>
        <w:t>WMO</w:t>
      </w:r>
      <w:r>
        <w:rPr>
          <w:rFonts w:hint="eastAsia" w:ascii="宋体" w:hAnsi="宋体" w:eastAsia="宋体" w:cs="宋体"/>
          <w:lang w:eastAsia="zh-CN"/>
        </w:rPr>
        <w:t>秘书长（见第</w:t>
      </w:r>
      <w:r>
        <w:rPr>
          <w:rFonts w:hint="eastAsia" w:eastAsia="Times New Roman" w:cs="Segoe UI"/>
          <w:lang w:eastAsia="zh-CN"/>
        </w:rPr>
        <w:t>3.3</w:t>
      </w:r>
      <w:r>
        <w:rPr>
          <w:rFonts w:hint="eastAsia" w:ascii="宋体" w:hAnsi="宋体" w:eastAsia="宋体" w:cs="宋体"/>
          <w:lang w:eastAsia="zh-CN"/>
        </w:rPr>
        <w:t>节）。例如，</w:t>
      </w:r>
      <w:r>
        <w:rPr>
          <w:rFonts w:hint="eastAsia" w:eastAsia="Times New Roman" w:cs="Segoe UI"/>
          <w:lang w:eastAsia="zh-CN"/>
        </w:rPr>
        <w:t>GBON</w:t>
      </w:r>
      <w:r>
        <w:rPr>
          <w:rFonts w:hint="eastAsia" w:ascii="宋体" w:hAnsi="宋体" w:eastAsia="宋体" w:cs="宋体"/>
          <w:lang w:eastAsia="zh-CN"/>
        </w:rPr>
        <w:t>要求不适用于某一会员的领土，因为该要求在技术上或在经济上不可行。</w:t>
      </w:r>
    </w:p>
    <w:p>
      <w:pPr>
        <w:spacing w:after="240" w:line="240" w:lineRule="exact"/>
        <w:textAlignment w:val="baseline"/>
        <w:rPr>
          <w:rFonts w:ascii="宋体" w:hAnsi="宋体" w:eastAsia="宋体" w:cs="宋体"/>
          <w:lang w:eastAsia="zh-CN"/>
        </w:rPr>
      </w:pPr>
      <w:r>
        <w:rPr>
          <w:rFonts w:hint="eastAsia" w:eastAsia="Times New Roman" w:cs="Segoe UI"/>
          <w:lang w:eastAsia="zh-CN"/>
        </w:rPr>
        <w:t>GBON</w:t>
      </w:r>
      <w:r>
        <w:rPr>
          <w:rFonts w:hint="eastAsia" w:ascii="宋体" w:hAnsi="宋体" w:eastAsia="宋体" w:cs="微软雅黑"/>
          <w:lang w:eastAsia="zh-CN"/>
        </w:rPr>
        <w:t>规则</w:t>
      </w:r>
      <w:r>
        <w:rPr>
          <w:rFonts w:hint="eastAsia" w:ascii="宋体" w:hAnsi="宋体" w:eastAsia="宋体" w:cs="宋体"/>
          <w:lang w:eastAsia="zh-CN"/>
        </w:rPr>
        <w:t>是一套全面的规定，不仅要求观测网达到一定的密度，而且要求长期服务于</w:t>
      </w:r>
      <w:r>
        <w:rPr>
          <w:rFonts w:hint="eastAsia" w:eastAsia="Times New Roman" w:cs="Segoe UI"/>
          <w:lang w:eastAsia="zh-CN"/>
        </w:rPr>
        <w:t>GBON</w:t>
      </w:r>
      <w:r>
        <w:rPr>
          <w:rFonts w:hint="eastAsia" w:ascii="宋体" w:hAnsi="宋体" w:eastAsia="宋体" w:cs="宋体"/>
          <w:lang w:eastAsia="zh-CN"/>
        </w:rPr>
        <w:t>业务，以期为所有</w:t>
      </w:r>
      <w:r>
        <w:rPr>
          <w:rFonts w:hint="eastAsia" w:eastAsia="Times New Roman" w:cs="Segoe UI"/>
          <w:lang w:eastAsia="zh-CN"/>
        </w:rPr>
        <w:t>WMO</w:t>
      </w:r>
      <w:r>
        <w:rPr>
          <w:rFonts w:hint="eastAsia" w:ascii="宋体" w:hAnsi="宋体" w:eastAsia="宋体" w:cs="宋体"/>
          <w:lang w:eastAsia="zh-CN"/>
        </w:rPr>
        <w:t>会员提供高质量和及时的观测数据。因此，应审查业务观测网的管理做法，并将能力发展活动视为国家</w:t>
      </w:r>
      <w:r>
        <w:rPr>
          <w:rFonts w:hint="eastAsia" w:eastAsia="Times New Roman" w:cs="Segoe UI"/>
          <w:lang w:eastAsia="zh-CN"/>
        </w:rPr>
        <w:t>GBON</w:t>
      </w:r>
      <w:r>
        <w:rPr>
          <w:rFonts w:hint="eastAsia" w:ascii="宋体" w:hAnsi="宋体" w:eastAsia="宋体" w:cs="宋体"/>
          <w:lang w:eastAsia="zh-CN"/>
        </w:rPr>
        <w:t>贡献计划的一部分，以保证</w:t>
      </w:r>
      <w:r>
        <w:rPr>
          <w:rFonts w:hint="eastAsia" w:eastAsia="Times New Roman" w:cs="Segoe UI"/>
          <w:lang w:eastAsia="zh-CN"/>
        </w:rPr>
        <w:t>GBON</w:t>
      </w:r>
      <w:r>
        <w:rPr>
          <w:rFonts w:hint="eastAsia" w:ascii="宋体" w:hAnsi="宋体" w:eastAsia="宋体" w:cs="宋体"/>
          <w:lang w:eastAsia="zh-CN"/>
        </w:rPr>
        <w:t>的可持续运作。</w:t>
      </w:r>
    </w:p>
    <w:p>
      <w:pPr>
        <w:spacing w:after="240" w:line="240" w:lineRule="exact"/>
        <w:textAlignment w:val="baseline"/>
        <w:rPr>
          <w:rFonts w:ascii="宋体" w:hAnsi="宋体" w:eastAsia="宋体" w:cs="宋体"/>
          <w:lang w:eastAsia="zh-CN"/>
        </w:rPr>
      </w:pPr>
      <w:r>
        <w:rPr>
          <w:rFonts w:hint="eastAsia" w:ascii="宋体" w:hAnsi="宋体" w:eastAsia="宋体" w:cs="宋体"/>
          <w:lang w:eastAsia="zh-CN"/>
        </w:rPr>
        <w:t>会员可根据需要，基于国家业务实践调整和扩展本文中提供的模板。</w:t>
      </w:r>
      <w:r>
        <w:rPr>
          <w:rFonts w:hint="eastAsia" w:eastAsia="Times New Roman" w:cs="Segoe UI"/>
          <w:lang w:eastAsia="zh-CN"/>
        </w:rPr>
        <w:t>WMO</w:t>
      </w:r>
      <w:r>
        <w:rPr>
          <w:rFonts w:hint="eastAsia" w:ascii="宋体" w:hAnsi="宋体" w:eastAsia="宋体" w:cs="宋体"/>
          <w:lang w:eastAsia="zh-CN"/>
        </w:rPr>
        <w:t>秘书处和</w:t>
      </w:r>
      <w:r>
        <w:rPr>
          <w:rFonts w:eastAsia="宋体" w:cs="Verdana"/>
          <w:lang w:eastAsia="zh-CN"/>
        </w:rPr>
        <w:t>INFCOM</w:t>
      </w:r>
      <w:r>
        <w:rPr>
          <w:rFonts w:hint="eastAsia" w:ascii="宋体" w:hAnsi="宋体" w:eastAsia="宋体" w:cs="宋体"/>
          <w:lang w:eastAsia="zh-CN"/>
        </w:rPr>
        <w:t>可随时回答问题、提供支持并分享</w:t>
      </w:r>
      <w:r>
        <w:rPr>
          <w:rFonts w:hint="eastAsia" w:eastAsia="Times New Roman" w:cs="Segoe UI"/>
          <w:lang w:eastAsia="zh-CN"/>
        </w:rPr>
        <w:t>GBON</w:t>
      </w:r>
      <w:r>
        <w:rPr>
          <w:rFonts w:hint="eastAsia" w:ascii="宋体" w:hAnsi="宋体" w:eastAsia="宋体" w:cs="宋体"/>
          <w:lang w:eastAsia="zh-CN"/>
        </w:rPr>
        <w:t>实施各阶段的最佳实践。</w:t>
      </w:r>
    </w:p>
    <w:p>
      <w:pPr>
        <w:pStyle w:val="2"/>
        <w:keepNext/>
        <w:keepLines/>
        <w:rPr>
          <w:rFonts w:ascii="微软雅黑" w:hAnsi="微软雅黑" w:eastAsia="微软雅黑" w:cs="微软雅黑"/>
          <w:b/>
          <w:bCs/>
          <w:szCs w:val="20"/>
          <w:lang w:eastAsia="zh-CN"/>
        </w:rPr>
      </w:pPr>
      <w:r>
        <w:rPr>
          <w:b/>
          <w:bCs/>
          <w:szCs w:val="20"/>
          <w:lang w:eastAsia="zh-CN"/>
        </w:rPr>
        <w:t>5.2.3</w:t>
      </w:r>
      <w:r>
        <w:rPr>
          <w:b/>
          <w:bCs/>
          <w:szCs w:val="20"/>
          <w:lang w:eastAsia="zh-CN"/>
        </w:rPr>
        <w:tab/>
      </w:r>
      <w:r>
        <w:rPr>
          <w:rFonts w:hint="eastAsia" w:ascii="微软雅黑" w:hAnsi="微软雅黑" w:eastAsia="微软雅黑" w:cs="微软雅黑"/>
          <w:b/>
          <w:bCs/>
          <w:szCs w:val="20"/>
          <w:lang w:eastAsia="zh-CN"/>
        </w:rPr>
        <w:t>环境可持续</w:t>
      </w:r>
      <w:r>
        <w:rPr>
          <w:rFonts w:hint="eastAsia" w:ascii="微软雅黑" w:hAnsi="微软雅黑" w:eastAsia="微软雅黑" w:cs="微软雅黑"/>
          <w:b/>
          <w:bCs/>
          <w:szCs w:val="20"/>
          <w:lang w:val="en-US" w:eastAsia="zh-CN"/>
        </w:rPr>
        <w:t>方面的</w:t>
      </w:r>
      <w:r>
        <w:rPr>
          <w:rFonts w:hint="eastAsia" w:ascii="微软雅黑" w:hAnsi="微软雅黑" w:eastAsia="微软雅黑" w:cs="微软雅黑"/>
          <w:b/>
          <w:bCs/>
          <w:szCs w:val="20"/>
          <w:lang w:eastAsia="zh-CN"/>
        </w:rPr>
        <w:t>考虑</w:t>
      </w:r>
    </w:p>
    <w:p>
      <w:pPr>
        <w:pStyle w:val="2"/>
        <w:keepNext/>
        <w:keepLines/>
        <w:rPr>
          <w:rFonts w:ascii="宋体" w:hAnsi="宋体" w:eastAsia="宋体" w:cs="宋体"/>
          <w:szCs w:val="20"/>
          <w:lang w:eastAsia="zh-CN"/>
        </w:rPr>
      </w:pPr>
      <w:r>
        <w:rPr>
          <w:rFonts w:hint="eastAsia"/>
          <w:szCs w:val="20"/>
          <w:lang w:eastAsia="zh-CN"/>
        </w:rPr>
        <w:t>WMO</w:t>
      </w:r>
      <w:r>
        <w:rPr>
          <w:rFonts w:hint="eastAsia" w:ascii="宋体" w:hAnsi="宋体" w:eastAsia="宋体" w:cs="宋体"/>
          <w:szCs w:val="20"/>
          <w:lang w:eastAsia="zh-CN"/>
        </w:rPr>
        <w:t>观测、基础设施和信息系统委员会（</w:t>
      </w:r>
      <w:r>
        <w:rPr>
          <w:rFonts w:eastAsia="宋体" w:cs="Verdana"/>
          <w:szCs w:val="20"/>
          <w:lang w:eastAsia="zh-CN"/>
        </w:rPr>
        <w:t>INFCOM</w:t>
      </w:r>
      <w:r>
        <w:rPr>
          <w:rFonts w:hint="eastAsia" w:ascii="宋体" w:hAnsi="宋体" w:eastAsia="宋体" w:cs="宋体"/>
          <w:szCs w:val="20"/>
          <w:lang w:eastAsia="zh-CN"/>
        </w:rPr>
        <w:t>）通过决议</w:t>
      </w:r>
      <w:r>
        <w:rPr>
          <w:rFonts w:eastAsia="宋体" w:cs="Verdana"/>
          <w:szCs w:val="20"/>
          <w:lang w:eastAsia="zh-CN"/>
        </w:rPr>
        <w:t>4</w:t>
      </w:r>
      <w:r>
        <w:rPr>
          <w:rFonts w:hint="eastAsia" w:ascii="宋体" w:hAnsi="宋体" w:eastAsia="宋体" w:cs="宋体"/>
          <w:szCs w:val="20"/>
          <w:lang w:eastAsia="zh-CN"/>
        </w:rPr>
        <w:t>（</w:t>
      </w:r>
      <w:r>
        <w:rPr>
          <w:rFonts w:eastAsia="宋体" w:cs="Verdana"/>
          <w:szCs w:val="20"/>
          <w:lang w:eastAsia="zh-CN"/>
        </w:rPr>
        <w:t>INFCOM-1</w:t>
      </w:r>
      <w:r>
        <w:rPr>
          <w:rFonts w:hint="eastAsia" w:ascii="宋体" w:hAnsi="宋体" w:eastAsia="宋体" w:cs="宋体"/>
          <w:szCs w:val="20"/>
          <w:lang w:eastAsia="zh-CN"/>
        </w:rPr>
        <w:t>）要求，</w:t>
      </w:r>
      <w:r>
        <w:rPr>
          <w:rFonts w:eastAsia="宋体" w:cs="Verdana"/>
          <w:szCs w:val="20"/>
          <w:lang w:eastAsia="zh-CN"/>
        </w:rPr>
        <w:t>GBON</w:t>
      </w:r>
      <w:r>
        <w:rPr>
          <w:rFonts w:hint="eastAsia" w:ascii="宋体" w:hAnsi="宋体" w:eastAsia="宋体" w:cs="宋体"/>
          <w:szCs w:val="20"/>
          <w:lang w:eastAsia="zh-CN"/>
        </w:rPr>
        <w:t>的未来开发和实施解决观测系统和方法对环境的影响问题。</w:t>
      </w:r>
    </w:p>
    <w:p>
      <w:pPr>
        <w:pStyle w:val="2"/>
        <w:rPr>
          <w:rFonts w:ascii="宋体" w:hAnsi="宋体" w:eastAsia="宋体" w:cs="宋体"/>
          <w:szCs w:val="20"/>
          <w:lang w:eastAsia="zh-CN"/>
        </w:rPr>
      </w:pPr>
      <w:r>
        <w:rPr>
          <w:rFonts w:hint="eastAsia" w:ascii="宋体" w:hAnsi="宋体" w:eastAsia="宋体" w:cs="宋体"/>
          <w:szCs w:val="20"/>
          <w:lang w:eastAsia="zh-CN"/>
        </w:rPr>
        <w:t>目前，鼓励会员以环境可持续为基础，设计和发展观测网来达到</w:t>
      </w:r>
      <w:r>
        <w:rPr>
          <w:rFonts w:eastAsia="宋体" w:cs="Verdana"/>
          <w:szCs w:val="20"/>
          <w:lang w:eastAsia="zh-CN"/>
        </w:rPr>
        <w:t>GBON</w:t>
      </w:r>
      <w:r>
        <w:rPr>
          <w:rFonts w:hint="eastAsia" w:ascii="宋体" w:hAnsi="宋体" w:eastAsia="宋体" w:cs="宋体"/>
          <w:szCs w:val="20"/>
          <w:lang w:eastAsia="zh-CN"/>
        </w:rPr>
        <w:t>水平和时间分辨率要求。应在整个天气和气候数据价值链中考虑达到</w:t>
      </w:r>
      <w:r>
        <w:rPr>
          <w:rFonts w:eastAsia="宋体" w:cs="Verdana"/>
          <w:szCs w:val="20"/>
          <w:lang w:eastAsia="zh-CN"/>
        </w:rPr>
        <w:t>GBON</w:t>
      </w:r>
      <w:r>
        <w:rPr>
          <w:rFonts w:hint="eastAsia" w:ascii="宋体" w:hAnsi="宋体" w:eastAsia="宋体" w:cs="宋体"/>
          <w:szCs w:val="20"/>
          <w:lang w:eastAsia="zh-CN"/>
        </w:rPr>
        <w:t>观测要求的务实和可持续方法，包括：</w:t>
      </w:r>
    </w:p>
    <w:p>
      <w:pPr>
        <w:pStyle w:val="2"/>
        <w:numPr>
          <w:ilvl w:val="0"/>
          <w:numId w:val="14"/>
        </w:numPr>
        <w:ind w:left="567" w:hanging="567"/>
        <w:rPr>
          <w:rFonts w:ascii="宋体" w:hAnsi="宋体" w:eastAsia="宋体" w:cs="宋体"/>
          <w:szCs w:val="20"/>
          <w:lang w:eastAsia="zh-CN"/>
        </w:rPr>
      </w:pPr>
      <w:r>
        <w:rPr>
          <w:rFonts w:hint="eastAsia" w:ascii="宋体" w:hAnsi="宋体" w:eastAsia="宋体" w:cs="宋体"/>
          <w:szCs w:val="20"/>
          <w:lang w:eastAsia="zh-CN"/>
        </w:rPr>
        <w:t>制定和应用考虑环境可持续性的规范，以采购符合</w:t>
      </w:r>
      <w:r>
        <w:rPr>
          <w:rFonts w:eastAsia="宋体" w:cs="Verdana"/>
          <w:szCs w:val="20"/>
          <w:lang w:eastAsia="zh-CN"/>
        </w:rPr>
        <w:t>GBON</w:t>
      </w:r>
      <w:r>
        <w:rPr>
          <w:rFonts w:hint="eastAsia" w:ascii="宋体" w:hAnsi="宋体" w:eastAsia="宋体" w:cs="宋体"/>
          <w:szCs w:val="20"/>
          <w:lang w:eastAsia="zh-CN"/>
        </w:rPr>
        <w:t>要求的测量仪器设备；</w:t>
      </w:r>
    </w:p>
    <w:p>
      <w:pPr>
        <w:pStyle w:val="2"/>
        <w:numPr>
          <w:ilvl w:val="0"/>
          <w:numId w:val="14"/>
        </w:numPr>
        <w:ind w:left="567" w:hanging="567"/>
        <w:rPr>
          <w:rFonts w:ascii="宋体" w:hAnsi="宋体" w:eastAsia="宋体" w:cs="宋体"/>
          <w:szCs w:val="20"/>
          <w:lang w:eastAsia="zh-CN"/>
        </w:rPr>
      </w:pPr>
      <w:r>
        <w:rPr>
          <w:rFonts w:hint="eastAsia" w:ascii="宋体" w:hAnsi="宋体" w:eastAsia="宋体" w:cs="宋体"/>
          <w:szCs w:val="20"/>
          <w:lang w:eastAsia="zh-CN"/>
        </w:rPr>
        <w:t>在监管合规中纳入可持续性要求，以管理符合</w:t>
      </w:r>
      <w:r>
        <w:rPr>
          <w:rFonts w:eastAsia="宋体" w:cs="Verdana"/>
          <w:szCs w:val="20"/>
          <w:lang w:eastAsia="zh-CN"/>
        </w:rPr>
        <w:t>GBON</w:t>
      </w:r>
      <w:r>
        <w:rPr>
          <w:rFonts w:hint="eastAsia" w:ascii="宋体" w:hAnsi="宋体" w:eastAsia="宋体" w:cs="宋体"/>
          <w:szCs w:val="20"/>
          <w:lang w:eastAsia="zh-CN"/>
        </w:rPr>
        <w:t>标准的气象和气候站的运行，包括其安装、校准和维护；</w:t>
      </w:r>
    </w:p>
    <w:p>
      <w:pPr>
        <w:pStyle w:val="2"/>
        <w:numPr>
          <w:ilvl w:val="0"/>
          <w:numId w:val="14"/>
        </w:numPr>
        <w:ind w:left="567" w:hanging="567"/>
        <w:rPr>
          <w:rFonts w:ascii="宋体" w:hAnsi="宋体" w:eastAsia="宋体" w:cs="宋体"/>
          <w:szCs w:val="20"/>
          <w:lang w:eastAsia="zh-CN"/>
        </w:rPr>
      </w:pPr>
      <w:r>
        <w:rPr>
          <w:rFonts w:hint="eastAsia" w:ascii="宋体" w:hAnsi="宋体" w:eastAsia="宋体" w:cs="宋体"/>
          <w:szCs w:val="20"/>
          <w:lang w:eastAsia="zh-CN"/>
        </w:rPr>
        <w:t>为</w:t>
      </w:r>
      <w:r>
        <w:rPr>
          <w:rFonts w:eastAsia="宋体" w:cs="Verdana"/>
          <w:szCs w:val="20"/>
          <w:lang w:eastAsia="zh-CN"/>
        </w:rPr>
        <w:t>GBON</w:t>
      </w:r>
      <w:r>
        <w:rPr>
          <w:rFonts w:hint="eastAsia" w:ascii="宋体" w:hAnsi="宋体" w:eastAsia="宋体" w:cs="宋体"/>
          <w:szCs w:val="20"/>
          <w:lang w:eastAsia="zh-CN"/>
        </w:rPr>
        <w:t>合规台站的开发、运输和日常业务仔细选择材料，重点是开发和使用可重复使用的仪器和可持续的观测方法（例如，淘汰一次性塑料）。</w:t>
      </w:r>
    </w:p>
    <w:p>
      <w:pPr>
        <w:pStyle w:val="2"/>
        <w:rPr>
          <w:szCs w:val="20"/>
          <w:lang w:eastAsia="zh-CN"/>
        </w:rPr>
      </w:pPr>
      <w:r>
        <w:rPr>
          <w:rFonts w:hint="eastAsia" w:ascii="宋体" w:hAnsi="宋体" w:eastAsia="宋体" w:cs="宋体"/>
          <w:szCs w:val="20"/>
          <w:lang w:eastAsia="zh-CN"/>
        </w:rPr>
        <w:t>在今后修订</w:t>
      </w:r>
      <w:r>
        <w:rPr>
          <w:rFonts w:eastAsia="宋体" w:cs="Verdana"/>
          <w:szCs w:val="20"/>
          <w:lang w:eastAsia="zh-CN"/>
        </w:rPr>
        <w:t>WIGOS</w:t>
      </w:r>
      <w:r>
        <w:rPr>
          <w:rFonts w:hint="eastAsia" w:ascii="宋体" w:hAnsi="宋体" w:eastAsia="宋体" w:cs="宋体"/>
          <w:szCs w:val="20"/>
          <w:lang w:eastAsia="zh-CN"/>
        </w:rPr>
        <w:t>监管材料和</w:t>
      </w:r>
      <w:r>
        <w:rPr>
          <w:rFonts w:eastAsia="宋体" w:cs="Verdana"/>
          <w:szCs w:val="20"/>
          <w:lang w:eastAsia="zh-CN"/>
        </w:rPr>
        <w:t>GBON</w:t>
      </w:r>
      <w:r>
        <w:rPr>
          <w:rFonts w:hint="eastAsia" w:ascii="宋体" w:hAnsi="宋体" w:eastAsia="宋体" w:cs="宋体"/>
          <w:szCs w:val="20"/>
          <w:lang w:eastAsia="zh-CN"/>
        </w:rPr>
        <w:t>指导意见时，将考虑与环境可持续性有关的建议，长期目标是发展更加环保的天气和气候观测系统、技术和做法。随着时间的推移，随着新信息的收集、分析和转化为要求，这些建议将不断演变，变得更加详细。</w:t>
      </w:r>
    </w:p>
    <w:p>
      <w:pPr>
        <w:pStyle w:val="318"/>
        <w:spacing w:before="240" w:after="200" w:line="276" w:lineRule="auto"/>
        <w:ind w:left="357" w:hanging="357"/>
        <w:outlineLvl w:val="2"/>
        <w:rPr>
          <w:rFonts w:ascii="微软雅黑" w:hAnsi="微软雅黑" w:eastAsia="微软雅黑" w:cs="微软雅黑"/>
          <w:b/>
          <w:bCs/>
          <w:color w:val="auto"/>
          <w:sz w:val="20"/>
          <w:szCs w:val="20"/>
          <w:lang w:val="en-GB" w:eastAsia="zh-CN"/>
        </w:rPr>
      </w:pPr>
      <w:r>
        <w:rPr>
          <w:rFonts w:ascii="Verdana" w:hAnsi="Verdana"/>
          <w:b/>
          <w:bCs/>
          <w:color w:val="auto"/>
          <w:sz w:val="20"/>
          <w:szCs w:val="20"/>
          <w:lang w:val="en-GB" w:eastAsia="zh-CN"/>
        </w:rPr>
        <w:t>5.3</w:t>
      </w:r>
      <w:r>
        <w:rPr>
          <w:rFonts w:ascii="Verdana" w:hAnsi="Verdana"/>
          <w:b/>
          <w:bCs/>
          <w:color w:val="auto"/>
          <w:sz w:val="20"/>
          <w:szCs w:val="20"/>
          <w:lang w:val="en-GB" w:eastAsia="zh-CN"/>
        </w:rPr>
        <w:tab/>
      </w:r>
      <w:r>
        <w:rPr>
          <w:rFonts w:ascii="Verdana" w:hAnsi="Verdana"/>
          <w:b/>
          <w:bCs/>
          <w:color w:val="auto"/>
          <w:sz w:val="20"/>
          <w:szCs w:val="20"/>
          <w:lang w:val="en-GB" w:eastAsia="zh-CN"/>
        </w:rPr>
        <w:tab/>
      </w:r>
      <w:r>
        <w:rPr>
          <w:rFonts w:hint="eastAsia" w:ascii="微软雅黑" w:hAnsi="微软雅黑" w:eastAsia="微软雅黑" w:cs="微软雅黑"/>
          <w:b/>
          <w:bCs/>
          <w:color w:val="auto"/>
          <w:sz w:val="20"/>
          <w:szCs w:val="20"/>
          <w:lang w:val="en-GB" w:eastAsia="zh-CN"/>
        </w:rPr>
        <w:t>国家</w:t>
      </w:r>
      <w:r>
        <w:rPr>
          <w:rFonts w:hint="eastAsia" w:ascii="Verdana" w:hAnsi="Verdana"/>
          <w:b/>
          <w:bCs/>
          <w:color w:val="auto"/>
          <w:sz w:val="20"/>
          <w:szCs w:val="20"/>
          <w:lang w:val="en-GB" w:eastAsia="zh-CN"/>
        </w:rPr>
        <w:t>GBON</w:t>
      </w:r>
      <w:r>
        <w:rPr>
          <w:rFonts w:hint="eastAsia" w:ascii="微软雅黑" w:hAnsi="微软雅黑" w:eastAsia="微软雅黑" w:cs="微软雅黑"/>
          <w:b/>
          <w:bCs/>
          <w:color w:val="auto"/>
          <w:sz w:val="20"/>
          <w:szCs w:val="20"/>
          <w:lang w:val="en-GB" w:eastAsia="zh-CN"/>
        </w:rPr>
        <w:t>贡献计划</w:t>
      </w:r>
    </w:p>
    <w:p>
      <w:pPr>
        <w:pStyle w:val="318"/>
        <w:spacing w:after="240" w:line="240" w:lineRule="exact"/>
        <w:ind w:left="0"/>
        <w:rPr>
          <w:rFonts w:ascii="Verdana" w:hAnsi="Verdana"/>
          <w:color w:val="auto"/>
          <w:sz w:val="20"/>
          <w:szCs w:val="20"/>
          <w:lang w:val="en-GB" w:eastAsia="zh-CN"/>
        </w:rPr>
      </w:pPr>
      <w:r>
        <w:rPr>
          <w:rFonts w:hint="eastAsia" w:ascii="Verdana" w:hAnsi="Verdana"/>
          <w:color w:val="auto"/>
          <w:sz w:val="20"/>
          <w:szCs w:val="20"/>
          <w:lang w:val="en-GB" w:eastAsia="zh-CN"/>
        </w:rPr>
        <w:t>国家GBON贡献计划（以下简称计划）是会员制定计划和努力实现GBON合规的基础。在制定计划之前完成的国家GBON差距分析是计划制定的基础。根据分析结果，会员在计划中设定GBON目标并提出实现该目标所需的活动。</w:t>
      </w:r>
    </w:p>
    <w:p>
      <w:pPr>
        <w:pStyle w:val="318"/>
        <w:spacing w:after="240" w:line="240" w:lineRule="exact"/>
        <w:ind w:left="0"/>
        <w:rPr>
          <w:rFonts w:ascii="Verdana" w:hAnsi="Verdana"/>
          <w:color w:val="auto"/>
          <w:sz w:val="20"/>
          <w:szCs w:val="20"/>
          <w:lang w:val="en-GB" w:eastAsia="zh-CN"/>
        </w:rPr>
      </w:pPr>
      <w:r>
        <w:rPr>
          <w:rFonts w:hint="eastAsia" w:ascii="Verdana" w:hAnsi="Verdana"/>
          <w:color w:val="auto"/>
          <w:sz w:val="20"/>
          <w:szCs w:val="20"/>
          <w:lang w:val="en-GB" w:eastAsia="zh-CN"/>
        </w:rPr>
        <w:t>国家GBON贡献计划的目标是确定逐步实现GBON合规所需的观测基础设施、人员能力和制度能力，以及国家观测网的运行和维护可持续水平。</w:t>
      </w:r>
    </w:p>
    <w:p>
      <w:pPr>
        <w:pStyle w:val="318"/>
        <w:spacing w:after="240" w:line="240" w:lineRule="exact"/>
        <w:ind w:left="0"/>
        <w:rPr>
          <w:rFonts w:ascii="Verdana" w:hAnsi="Verdana"/>
          <w:color w:val="auto"/>
          <w:sz w:val="20"/>
          <w:szCs w:val="20"/>
          <w:lang w:val="en-GB" w:eastAsia="zh-CN"/>
        </w:rPr>
      </w:pPr>
      <w:r>
        <w:rPr>
          <w:rFonts w:hint="eastAsia" w:ascii="Verdana" w:hAnsi="Verdana"/>
          <w:color w:val="auto"/>
          <w:sz w:val="20"/>
          <w:szCs w:val="20"/>
          <w:lang w:val="en-GB" w:eastAsia="zh-CN"/>
        </w:rPr>
        <w:t>有关计划的指导意见分为五个模块，构成了计划的基石。这五个模块平行进行，以便最终计划与模块的每一项产出保持一致。</w:t>
      </w:r>
    </w:p>
    <w:p>
      <w:pPr>
        <w:spacing w:after="240" w:line="240" w:lineRule="exact"/>
        <w:rPr>
          <w:rFonts w:ascii="微软雅黑" w:hAnsi="微软雅黑" w:eastAsia="微软雅黑" w:cs="微软雅黑"/>
          <w:b/>
          <w:bCs/>
          <w:color w:val="auto"/>
          <w:lang w:eastAsia="zh-CN"/>
        </w:rPr>
      </w:pPr>
      <w:bookmarkStart w:id="27" w:name="_Toc434288543"/>
      <w:bookmarkStart w:id="28" w:name="_Toc2105570161"/>
      <w:bookmarkStart w:id="29" w:name="_Toc107569108"/>
      <w:bookmarkStart w:id="30" w:name="_Toc1696976889"/>
      <w:r>
        <w:rPr>
          <w:rFonts w:eastAsia="Segoe UI" w:cs="Segoe UI"/>
          <w:b/>
          <w:bCs/>
          <w:color w:val="auto"/>
          <w:lang w:eastAsia="zh-CN"/>
        </w:rPr>
        <w:t>5.3.1</w:t>
      </w:r>
      <w:r>
        <w:rPr>
          <w:rFonts w:eastAsia="Segoe UI" w:cs="Segoe UI"/>
          <w:b/>
          <w:bCs/>
          <w:color w:val="auto"/>
          <w:lang w:eastAsia="zh-CN"/>
        </w:rPr>
        <w:tab/>
      </w:r>
      <w:bookmarkEnd w:id="27"/>
      <w:bookmarkEnd w:id="28"/>
      <w:bookmarkEnd w:id="29"/>
      <w:bookmarkEnd w:id="30"/>
      <w:r>
        <w:rPr>
          <w:rFonts w:hint="eastAsia" w:ascii="微软雅黑" w:hAnsi="微软雅黑" w:eastAsia="微软雅黑" w:cs="微软雅黑"/>
          <w:b/>
          <w:bCs/>
          <w:color w:val="auto"/>
          <w:lang w:eastAsia="zh-CN"/>
        </w:rPr>
        <w:t>制定国家</w:t>
      </w:r>
      <w:r>
        <w:rPr>
          <w:rFonts w:hint="eastAsia" w:eastAsia="Segoe UI" w:cs="Segoe UI"/>
          <w:b/>
          <w:bCs/>
          <w:color w:val="auto"/>
          <w:lang w:eastAsia="zh-CN"/>
        </w:rPr>
        <w:t>GBON</w:t>
      </w:r>
      <w:r>
        <w:rPr>
          <w:rFonts w:hint="eastAsia" w:ascii="微软雅黑" w:hAnsi="微软雅黑" w:eastAsia="微软雅黑" w:cs="微软雅黑"/>
          <w:b/>
          <w:bCs/>
          <w:color w:val="auto"/>
          <w:lang w:eastAsia="zh-CN"/>
        </w:rPr>
        <w:t>贡献计划</w:t>
      </w:r>
    </w:p>
    <w:p>
      <w:pPr>
        <w:spacing w:after="240" w:line="240" w:lineRule="exact"/>
        <w:rPr>
          <w:rFonts w:ascii="宋体" w:hAnsi="宋体" w:eastAsia="宋体" w:cs="宋体"/>
          <w:color w:val="auto"/>
          <w:lang w:eastAsia="zh-CN"/>
        </w:rPr>
      </w:pPr>
      <w:r>
        <w:rPr>
          <w:rFonts w:hint="eastAsia" w:ascii="宋体" w:hAnsi="宋体" w:eastAsia="宋体" w:cs="宋体"/>
          <w:color w:val="auto"/>
          <w:lang w:eastAsia="zh-CN"/>
        </w:rPr>
        <w:t>为供会员审议，指导意见分为五个模块，涵盖实施</w:t>
      </w:r>
      <w:r>
        <w:rPr>
          <w:rFonts w:eastAsia="宋体" w:cs="Verdana"/>
          <w:color w:val="auto"/>
          <w:lang w:eastAsia="zh-CN"/>
        </w:rPr>
        <w:t>GBON</w:t>
      </w:r>
      <w:r>
        <w:rPr>
          <w:rFonts w:hint="eastAsia" w:ascii="宋体" w:hAnsi="宋体" w:eastAsia="宋体" w:cs="宋体"/>
          <w:color w:val="auto"/>
          <w:lang w:eastAsia="zh-CN"/>
        </w:rPr>
        <w:t>所需的不同领域。此外，指导意见为每个模块提供了一份活动和预期产出列表，这些活动和预期产出应根据国家观测基础设施的现有设施和能力加以调整。</w:t>
      </w:r>
    </w:p>
    <w:p>
      <w:pPr>
        <w:spacing w:after="240" w:line="240" w:lineRule="exact"/>
        <w:rPr>
          <w:rFonts w:ascii="宋体" w:hAnsi="宋体" w:eastAsia="宋体" w:cs="宋体"/>
          <w:color w:val="auto"/>
        </w:rPr>
      </w:pPr>
      <w:r>
        <w:rPr>
          <w:rFonts w:hint="eastAsia" w:ascii="宋体" w:hAnsi="宋体" w:eastAsia="宋体" w:cs="宋体"/>
          <w:color w:val="auto"/>
        </w:rPr>
        <w:t>计划的模块包括：</w:t>
      </w:r>
    </w:p>
    <w:p>
      <w:pPr>
        <w:numPr>
          <w:ilvl w:val="0"/>
          <w:numId w:val="15"/>
        </w:numPr>
        <w:spacing w:after="240" w:line="240" w:lineRule="exact"/>
        <w:ind w:left="567" w:hanging="567"/>
        <w:rPr>
          <w:rFonts w:ascii="宋体" w:hAnsi="宋体" w:eastAsia="宋体" w:cs="宋体"/>
          <w:color w:val="auto"/>
          <w:lang w:eastAsia="zh-CN"/>
        </w:rPr>
      </w:pPr>
      <w:bookmarkStart w:id="31" w:name="_Hlk121726021"/>
      <w:r>
        <w:rPr>
          <w:rFonts w:hint="eastAsia" w:ascii="微软雅黑" w:hAnsi="微软雅黑" w:eastAsia="微软雅黑" w:cs="微软雅黑"/>
          <w:b/>
          <w:bCs/>
          <w:color w:val="auto"/>
          <w:lang w:eastAsia="zh-CN"/>
        </w:rPr>
        <w:t>模块</w:t>
      </w:r>
      <w:r>
        <w:rPr>
          <w:rFonts w:hint="eastAsia" w:eastAsia="Segoe UI" w:cs="Segoe UI"/>
          <w:b/>
          <w:bCs/>
          <w:color w:val="auto"/>
          <w:lang w:eastAsia="zh-CN"/>
        </w:rPr>
        <w:t>1</w:t>
      </w:r>
      <w:r>
        <w:rPr>
          <w:rFonts w:hint="eastAsia" w:eastAsia="宋体" w:cs="Segoe UI"/>
          <w:b/>
          <w:bCs/>
          <w:color w:val="auto"/>
          <w:lang w:val="en-US" w:eastAsia="zh-CN"/>
        </w:rPr>
        <w:t>.</w:t>
      </w:r>
      <w:r>
        <w:rPr>
          <w:rFonts w:hint="eastAsia" w:ascii="微软雅黑" w:hAnsi="微软雅黑" w:eastAsia="微软雅黑" w:cs="微软雅黑"/>
          <w:b/>
          <w:bCs/>
          <w:color w:val="auto"/>
          <w:lang w:val="en-US" w:eastAsia="zh-CN"/>
        </w:rPr>
        <w:t xml:space="preserve"> 国家</w:t>
      </w:r>
      <w:r>
        <w:rPr>
          <w:rFonts w:hint="eastAsia" w:eastAsia="宋体" w:cs="Segoe UI"/>
          <w:b/>
          <w:bCs/>
          <w:color w:val="auto"/>
          <w:lang w:val="en-US" w:eastAsia="zh-CN"/>
        </w:rPr>
        <w:t>GBON</w:t>
      </w:r>
      <w:r>
        <w:rPr>
          <w:rFonts w:hint="eastAsia" w:ascii="微软雅黑" w:hAnsi="微软雅黑" w:eastAsia="微软雅黑" w:cs="微软雅黑"/>
          <w:b/>
          <w:bCs/>
          <w:color w:val="auto"/>
          <w:lang w:val="en-US" w:eastAsia="zh-CN"/>
        </w:rPr>
        <w:t>目标：</w:t>
      </w:r>
      <w:bookmarkEnd w:id="31"/>
      <w:r>
        <w:rPr>
          <w:rFonts w:hint="eastAsia" w:ascii="宋体" w:hAnsi="宋体" w:eastAsia="宋体" w:cs="宋体"/>
          <w:color w:val="auto"/>
          <w:lang w:eastAsia="zh-CN"/>
        </w:rPr>
        <w:t>考虑到国情的</w:t>
      </w:r>
      <w:r>
        <w:rPr>
          <w:rFonts w:eastAsia="宋体" w:cs="Verdana"/>
          <w:color w:val="auto"/>
          <w:lang w:eastAsia="zh-CN"/>
        </w:rPr>
        <w:t>GBON</w:t>
      </w:r>
      <w:r>
        <w:rPr>
          <w:rFonts w:hint="eastAsia" w:ascii="宋体" w:hAnsi="宋体" w:eastAsia="宋体" w:cs="宋体"/>
          <w:color w:val="auto"/>
          <w:lang w:eastAsia="zh-CN"/>
        </w:rPr>
        <w:t>合规国家目标。</w:t>
      </w:r>
    </w:p>
    <w:p>
      <w:pPr>
        <w:numPr>
          <w:ilvl w:val="0"/>
          <w:numId w:val="15"/>
        </w:numPr>
        <w:spacing w:after="240" w:line="240" w:lineRule="exact"/>
        <w:ind w:left="567" w:hanging="567"/>
        <w:rPr>
          <w:rFonts w:eastAsia="Calibri"/>
          <w:color w:val="auto"/>
          <w:lang w:eastAsia="zh-CN"/>
        </w:rPr>
      </w:pPr>
      <w:r>
        <w:rPr>
          <w:rFonts w:hint="eastAsia" w:ascii="微软雅黑" w:hAnsi="微软雅黑" w:eastAsia="微软雅黑" w:cs="微软雅黑"/>
          <w:b/>
          <w:bCs/>
          <w:color w:val="auto"/>
          <w:lang w:eastAsia="zh-CN"/>
        </w:rPr>
        <w:t>模块</w:t>
      </w:r>
      <w:r>
        <w:rPr>
          <w:rFonts w:hint="eastAsia" w:eastAsia="宋体" w:cs="Segoe UI"/>
          <w:b/>
          <w:bCs/>
          <w:color w:val="auto"/>
          <w:lang w:val="en-US" w:eastAsia="zh-CN"/>
        </w:rPr>
        <w:t>2.</w:t>
      </w:r>
      <w:r>
        <w:rPr>
          <w:rFonts w:hint="eastAsia" w:ascii="微软雅黑" w:hAnsi="微软雅黑" w:eastAsia="微软雅黑" w:cs="微软雅黑"/>
          <w:b/>
          <w:bCs/>
          <w:color w:val="auto"/>
          <w:lang w:eastAsia="zh-CN"/>
        </w:rPr>
        <w:t xml:space="preserve"> 制度能力发展：</w:t>
      </w:r>
      <w:r>
        <w:rPr>
          <w:rFonts w:hint="eastAsia" w:ascii="宋体" w:hAnsi="宋体" w:eastAsia="宋体" w:cs="宋体"/>
          <w:color w:val="auto"/>
          <w:lang w:eastAsia="zh-CN"/>
        </w:rPr>
        <w:t>运行、维护和管理</w:t>
      </w:r>
      <w:r>
        <w:rPr>
          <w:rFonts w:eastAsia="宋体" w:cs="Verdana"/>
          <w:color w:val="auto"/>
          <w:lang w:eastAsia="zh-CN"/>
        </w:rPr>
        <w:t>GBON</w:t>
      </w:r>
      <w:r>
        <w:rPr>
          <w:rFonts w:hint="eastAsia" w:ascii="宋体" w:hAnsi="宋体" w:eastAsia="宋体" w:cs="宋体"/>
          <w:color w:val="auto"/>
          <w:lang w:eastAsia="zh-CN"/>
        </w:rPr>
        <w:t>观测网所需的制度能力。</w:t>
      </w:r>
    </w:p>
    <w:p>
      <w:pPr>
        <w:numPr>
          <w:ilvl w:val="0"/>
          <w:numId w:val="15"/>
        </w:numPr>
        <w:spacing w:after="240" w:line="240" w:lineRule="exact"/>
        <w:ind w:left="567" w:hanging="567"/>
        <w:rPr>
          <w:rFonts w:eastAsia="Segoe UI" w:cs="Segoe UI"/>
          <w:color w:val="auto"/>
          <w:lang w:eastAsia="zh-CN"/>
        </w:rPr>
      </w:pPr>
      <w:bookmarkStart w:id="32" w:name="OLE_LINK5"/>
      <w:r>
        <w:rPr>
          <w:rFonts w:hint="eastAsia" w:ascii="微软雅黑" w:hAnsi="微软雅黑" w:eastAsia="微软雅黑" w:cs="微软雅黑"/>
          <w:b/>
          <w:bCs/>
          <w:color w:val="auto"/>
          <w:lang w:eastAsia="zh-CN"/>
        </w:rPr>
        <w:t>模块</w:t>
      </w:r>
      <w:bookmarkEnd w:id="32"/>
      <w:r>
        <w:rPr>
          <w:rFonts w:hint="eastAsia" w:eastAsia="宋体" w:cs="Segoe UI"/>
          <w:b/>
          <w:bCs/>
          <w:color w:val="auto"/>
          <w:lang w:val="en-US" w:eastAsia="zh-CN"/>
        </w:rPr>
        <w:t>3.</w:t>
      </w:r>
      <w:r>
        <w:rPr>
          <w:rFonts w:hint="eastAsia" w:ascii="微软雅黑" w:hAnsi="微软雅黑" w:eastAsia="微软雅黑" w:cs="微软雅黑"/>
          <w:b/>
          <w:bCs/>
          <w:color w:val="auto"/>
          <w:lang w:eastAsia="zh-CN"/>
        </w:rPr>
        <w:t xml:space="preserve"> 基础设施发展：</w:t>
      </w:r>
      <w:r>
        <w:rPr>
          <w:rFonts w:hint="eastAsia" w:ascii="宋体" w:hAnsi="宋体" w:eastAsia="宋体" w:cs="宋体"/>
          <w:color w:val="auto"/>
          <w:lang w:eastAsia="zh-CN"/>
        </w:rPr>
        <w:t>实现国家目标并遵守</w:t>
      </w:r>
      <w:r>
        <w:rPr>
          <w:rFonts w:eastAsia="宋体" w:cs="Verdana"/>
          <w:color w:val="auto"/>
          <w:lang w:eastAsia="zh-CN"/>
        </w:rPr>
        <w:t>GBON</w:t>
      </w:r>
      <w:r>
        <w:rPr>
          <w:rFonts w:hint="eastAsia" w:ascii="宋体" w:hAnsi="宋体" w:eastAsia="宋体" w:cs="宋体"/>
          <w:color w:val="auto"/>
          <w:lang w:eastAsia="zh-CN"/>
        </w:rPr>
        <w:t>规则所需的观测网基础设施。</w:t>
      </w:r>
    </w:p>
    <w:p>
      <w:pPr>
        <w:numPr>
          <w:ilvl w:val="0"/>
          <w:numId w:val="15"/>
        </w:numPr>
        <w:spacing w:after="240" w:line="240" w:lineRule="exact"/>
        <w:ind w:left="567" w:hanging="567"/>
        <w:rPr>
          <w:rFonts w:ascii="宋体" w:hAnsi="宋体" w:eastAsia="宋体" w:cs="宋体"/>
          <w:color w:val="auto"/>
          <w:lang w:eastAsia="zh-CN"/>
        </w:rPr>
      </w:pPr>
      <w:r>
        <w:rPr>
          <w:rFonts w:hint="eastAsia" w:ascii="微软雅黑" w:hAnsi="微软雅黑" w:eastAsia="微软雅黑" w:cs="微软雅黑"/>
          <w:b/>
          <w:bCs/>
          <w:color w:val="auto"/>
          <w:lang w:eastAsia="zh-CN"/>
        </w:rPr>
        <w:t>模块</w:t>
      </w:r>
      <w:r>
        <w:rPr>
          <w:rFonts w:eastAsia="Segoe UI" w:cs="Segoe UI"/>
          <w:b/>
          <w:bCs/>
          <w:color w:val="auto"/>
          <w:lang w:eastAsia="zh-CN"/>
        </w:rPr>
        <w:t>4.</w:t>
      </w:r>
      <w:r>
        <w:rPr>
          <w:rFonts w:hint="eastAsia" w:ascii="微软雅黑" w:hAnsi="微软雅黑" w:eastAsia="微软雅黑" w:cs="微软雅黑"/>
          <w:b/>
          <w:bCs/>
          <w:color w:val="auto"/>
          <w:lang w:eastAsia="zh-CN"/>
        </w:rPr>
        <w:t xml:space="preserve"> 人员能力发展：</w:t>
      </w:r>
      <w:r>
        <w:rPr>
          <w:rFonts w:hint="eastAsia" w:ascii="宋体" w:hAnsi="宋体" w:eastAsia="宋体" w:cs="宋体"/>
          <w:color w:val="auto"/>
          <w:lang w:eastAsia="zh-CN"/>
        </w:rPr>
        <w:t>管理、运行和维护</w:t>
      </w:r>
      <w:r>
        <w:rPr>
          <w:rFonts w:eastAsia="宋体" w:cs="Verdana"/>
          <w:color w:val="auto"/>
          <w:lang w:eastAsia="zh-CN"/>
        </w:rPr>
        <w:t>GBON</w:t>
      </w:r>
      <w:r>
        <w:rPr>
          <w:rFonts w:hint="eastAsia" w:ascii="宋体" w:hAnsi="宋体" w:eastAsia="宋体" w:cs="宋体"/>
          <w:color w:val="auto"/>
          <w:lang w:eastAsia="zh-CN"/>
        </w:rPr>
        <w:t>观测网络所需的人员能力。</w:t>
      </w:r>
    </w:p>
    <w:p>
      <w:pPr>
        <w:numPr>
          <w:ilvl w:val="0"/>
          <w:numId w:val="15"/>
        </w:numPr>
        <w:spacing w:after="240" w:line="240" w:lineRule="exact"/>
        <w:ind w:left="567" w:hanging="567"/>
        <w:rPr>
          <w:rFonts w:eastAsia="Calibri"/>
          <w:color w:val="auto"/>
          <w:lang w:eastAsia="zh-CN"/>
        </w:rPr>
      </w:pPr>
      <w:r>
        <w:rPr>
          <w:rFonts w:hint="eastAsia" w:ascii="微软雅黑" w:hAnsi="微软雅黑" w:eastAsia="微软雅黑" w:cs="微软雅黑"/>
          <w:b/>
          <w:bCs/>
          <w:color w:val="auto"/>
          <w:lang w:eastAsia="zh-CN"/>
        </w:rPr>
        <w:t>模块</w:t>
      </w:r>
      <w:r>
        <w:rPr>
          <w:rFonts w:eastAsia="Segoe UI" w:cs="Segoe UI"/>
          <w:b/>
          <w:bCs/>
          <w:color w:val="auto"/>
          <w:lang w:eastAsia="zh-CN"/>
        </w:rPr>
        <w:t xml:space="preserve">5. </w:t>
      </w:r>
      <w:r>
        <w:rPr>
          <w:rFonts w:hint="eastAsia" w:ascii="微软雅黑" w:hAnsi="微软雅黑" w:eastAsia="微软雅黑" w:cs="微软雅黑"/>
          <w:b/>
          <w:bCs/>
          <w:color w:val="auto"/>
          <w:lang w:eastAsia="zh-CN"/>
        </w:rPr>
        <w:t>风险管理：</w:t>
      </w:r>
      <w:r>
        <w:rPr>
          <w:rFonts w:hint="eastAsia" w:ascii="宋体" w:hAnsi="宋体" w:eastAsia="宋体" w:cs="宋体"/>
          <w:color w:val="auto"/>
          <w:lang w:eastAsia="zh-CN"/>
        </w:rPr>
        <w:t>观测网的运行风险和所需的缓解措施。</w:t>
      </w:r>
    </w:p>
    <w:p>
      <w:pPr>
        <w:spacing w:after="240" w:line="240" w:lineRule="exact"/>
        <w:rPr>
          <w:rFonts w:ascii="宋体" w:hAnsi="宋体" w:eastAsia="宋体" w:cs="宋体"/>
          <w:color w:val="auto"/>
          <w:lang w:eastAsia="zh-CN"/>
        </w:rPr>
      </w:pPr>
      <w:r>
        <w:rPr>
          <w:rFonts w:hint="eastAsia" w:ascii="宋体" w:hAnsi="宋体" w:eastAsia="宋体" w:cs="宋体"/>
          <w:color w:val="auto"/>
          <w:lang w:eastAsia="zh-CN"/>
        </w:rPr>
        <w:t>每个模块列出了建议的活动及其预期交付成果。应根据会员的国家观测网战略以及其利益关切，确定关键活动和最佳做法。应酌情利用现有的业务系统、流程和做法。初步时间表和所涉财务问题在每个模块都应加以考虑。</w:t>
      </w:r>
    </w:p>
    <w:p>
      <w:pPr>
        <w:spacing w:after="240" w:line="240" w:lineRule="exact"/>
        <w:rPr>
          <w:rFonts w:ascii="宋体" w:hAnsi="宋体" w:eastAsia="宋体" w:cs="宋体"/>
          <w:color w:val="auto"/>
          <w:lang w:eastAsia="zh-CN"/>
        </w:rPr>
      </w:pPr>
      <w:r>
        <w:rPr>
          <w:rFonts w:hint="eastAsia" w:ascii="宋体" w:hAnsi="宋体" w:eastAsia="宋体" w:cs="宋体"/>
          <w:color w:val="auto"/>
          <w:lang w:eastAsia="zh-CN"/>
        </w:rPr>
        <w:t>这些模块提供了一种标准方法，可根据国家需要和期望加以调整。</w:t>
      </w:r>
    </w:p>
    <w:p>
      <w:pPr>
        <w:spacing w:after="240" w:line="240" w:lineRule="exact"/>
        <w:rPr>
          <w:rFonts w:eastAsia="Segoe UI" w:cs="Segoe UI"/>
          <w:color w:val="auto"/>
          <w:lang w:eastAsia="zh-CN"/>
        </w:rPr>
      </w:pPr>
      <w:r>
        <w:rPr>
          <w:rFonts w:hint="eastAsia" w:ascii="宋体" w:hAnsi="宋体" w:eastAsia="宋体" w:cs="宋体"/>
          <w:color w:val="auto"/>
          <w:lang w:eastAsia="zh-CN"/>
        </w:rPr>
        <w:t>每个模块计划开展的活动旨在实现国家</w:t>
      </w:r>
      <w:r>
        <w:rPr>
          <w:rFonts w:eastAsia="宋体" w:cs="Verdana"/>
          <w:color w:val="auto"/>
          <w:lang w:eastAsia="zh-CN"/>
        </w:rPr>
        <w:t>GBON</w:t>
      </w:r>
      <w:r>
        <w:rPr>
          <w:rFonts w:hint="eastAsia" w:eastAsia="宋体" w:cs="Verdana"/>
          <w:color w:val="auto"/>
          <w:lang w:eastAsia="zh-CN"/>
        </w:rPr>
        <w:t>合规</w:t>
      </w:r>
      <w:r>
        <w:rPr>
          <w:rFonts w:hint="eastAsia" w:ascii="宋体" w:hAnsi="宋体" w:eastAsia="宋体" w:cs="宋体"/>
          <w:color w:val="auto"/>
          <w:lang w:eastAsia="zh-CN"/>
        </w:rPr>
        <w:t>目标。应定期审查计划，发展有助于以可持续方式完全实现</w:t>
      </w:r>
      <w:r>
        <w:rPr>
          <w:rFonts w:eastAsia="宋体" w:cs="Verdana"/>
          <w:color w:val="auto"/>
          <w:lang w:eastAsia="zh-CN"/>
        </w:rPr>
        <w:t>GBON</w:t>
      </w:r>
      <w:r>
        <w:rPr>
          <w:rFonts w:hint="eastAsia" w:ascii="宋体" w:hAnsi="宋体" w:eastAsia="宋体" w:cs="宋体"/>
          <w:color w:val="auto"/>
          <w:lang w:eastAsia="zh-CN"/>
        </w:rPr>
        <w:t>合规的活动。</w:t>
      </w:r>
    </w:p>
    <w:p>
      <w:pPr>
        <w:keepNext/>
        <w:keepLines/>
        <w:spacing w:after="240" w:line="240" w:lineRule="exact"/>
        <w:rPr>
          <w:rFonts w:eastAsia="Segoe UI" w:cs="Segoe UI"/>
          <w:b/>
          <w:bCs/>
          <w:color w:val="auto"/>
          <w:lang w:eastAsia="zh-CN"/>
        </w:rPr>
      </w:pPr>
      <w:r>
        <w:rPr>
          <w:rFonts w:hint="eastAsia" w:ascii="微软雅黑" w:hAnsi="微软雅黑" w:eastAsia="微软雅黑" w:cs="微软雅黑"/>
          <w:b/>
          <w:bCs/>
          <w:color w:val="auto"/>
          <w:lang w:eastAsia="zh-CN"/>
        </w:rPr>
        <w:t>模块</w:t>
      </w:r>
      <w:r>
        <w:rPr>
          <w:rFonts w:hint="eastAsia" w:eastAsia="Segoe UI" w:cs="Segoe UI"/>
          <w:b/>
          <w:bCs/>
          <w:color w:val="auto"/>
          <w:lang w:eastAsia="zh-CN"/>
        </w:rPr>
        <w:t>1</w:t>
      </w:r>
      <w:r>
        <w:rPr>
          <w:rFonts w:hint="eastAsia" w:eastAsia="宋体" w:cs="Segoe UI"/>
          <w:b/>
          <w:bCs/>
          <w:color w:val="auto"/>
          <w:lang w:val="en-US" w:eastAsia="zh-CN"/>
        </w:rPr>
        <w:t>.</w:t>
      </w:r>
      <w:r>
        <w:rPr>
          <w:rFonts w:hint="eastAsia" w:ascii="微软雅黑" w:hAnsi="微软雅黑" w:eastAsia="微软雅黑" w:cs="微软雅黑"/>
          <w:b/>
          <w:bCs/>
          <w:color w:val="auto"/>
          <w:lang w:val="en-US" w:eastAsia="zh-CN"/>
        </w:rPr>
        <w:t xml:space="preserve"> 国家</w:t>
      </w:r>
      <w:r>
        <w:rPr>
          <w:rFonts w:hint="eastAsia" w:eastAsia="宋体" w:cs="Segoe UI"/>
          <w:b/>
          <w:bCs/>
          <w:color w:val="auto"/>
          <w:lang w:val="en-US" w:eastAsia="zh-CN"/>
        </w:rPr>
        <w:t>GBON</w:t>
      </w:r>
      <w:r>
        <w:rPr>
          <w:rFonts w:hint="eastAsia" w:ascii="微软雅黑" w:hAnsi="微软雅黑" w:eastAsia="微软雅黑" w:cs="微软雅黑"/>
          <w:b/>
          <w:bCs/>
          <w:color w:val="auto"/>
          <w:lang w:val="en-US" w:eastAsia="zh-CN"/>
        </w:rPr>
        <w:t>目标</w:t>
      </w:r>
    </w:p>
    <w:p>
      <w:pPr>
        <w:keepNext/>
        <w:keepLines/>
        <w:spacing w:after="240" w:line="240" w:lineRule="exact"/>
        <w:rPr>
          <w:rFonts w:eastAsia="Segoe UI" w:cs="Segoe UI"/>
          <w:color w:val="auto"/>
          <w:lang w:eastAsia="zh-CN"/>
        </w:rPr>
      </w:pPr>
      <w:r>
        <w:rPr>
          <w:rFonts w:hint="eastAsia" w:eastAsia="Segoe UI" w:cs="Segoe UI"/>
          <w:color w:val="auto"/>
          <w:lang w:eastAsia="zh-CN"/>
        </w:rPr>
        <w:t>根据国家GBON差距分析的结果，会员制定逐步实现GBON合规的国家GBON目标。目</w:t>
      </w:r>
      <w:r>
        <w:rPr>
          <w:rFonts w:hint="eastAsia" w:ascii="宋体" w:hAnsi="宋体" w:eastAsia="宋体" w:cs="Segoe UI"/>
          <w:color w:val="auto"/>
          <w:lang w:eastAsia="zh-CN"/>
        </w:rPr>
        <w:t>标应</w:t>
      </w:r>
      <w:r>
        <w:rPr>
          <w:rFonts w:hint="eastAsia" w:ascii="宋体" w:hAnsi="宋体" w:eastAsia="宋体" w:cs="微软雅黑"/>
          <w:color w:val="auto"/>
          <w:lang w:eastAsia="zh-CN"/>
        </w:rPr>
        <w:t>具有</w:t>
      </w:r>
      <w:r>
        <w:rPr>
          <w:rFonts w:hint="eastAsia" w:ascii="宋体" w:hAnsi="宋体" w:eastAsia="宋体" w:cs="Segoe UI"/>
          <w:color w:val="auto"/>
          <w:lang w:eastAsia="zh-CN"/>
        </w:rPr>
        <w:t>渐进</w:t>
      </w:r>
      <w:r>
        <w:rPr>
          <w:rFonts w:hint="eastAsia" w:ascii="宋体" w:hAnsi="宋体" w:eastAsia="宋体" w:cs="微软雅黑"/>
          <w:color w:val="auto"/>
          <w:lang w:eastAsia="zh-CN"/>
        </w:rPr>
        <w:t>性</w:t>
      </w:r>
      <w:r>
        <w:rPr>
          <w:rFonts w:hint="eastAsia" w:ascii="宋体" w:hAnsi="宋体" w:eastAsia="宋体" w:cs="Segoe UI"/>
          <w:color w:val="auto"/>
          <w:lang w:eastAsia="zh-CN"/>
        </w:rPr>
        <w:t>，</w:t>
      </w:r>
      <w:r>
        <w:rPr>
          <w:rFonts w:hint="eastAsia" w:eastAsia="Segoe UI" w:cs="Segoe UI"/>
          <w:color w:val="auto"/>
          <w:lang w:eastAsia="zh-CN"/>
        </w:rPr>
        <w:t>以便定期增加目标的要素，使该国在合理时间内完全实现GBON合规。这一目标反映了会员的雄心水平，同时考虑到了渐进性、国情以及为实现这一目标而开展活动的可行性。模块1的活动和输出见表5.7。</w:t>
      </w:r>
    </w:p>
    <w:p>
      <w:pPr>
        <w:spacing w:after="240" w:line="240" w:lineRule="exact"/>
        <w:jc w:val="center"/>
        <w:rPr>
          <w:rFonts w:ascii="微软雅黑" w:hAnsi="微软雅黑" w:eastAsia="微软雅黑" w:cs="微软雅黑"/>
          <w:b/>
          <w:bCs/>
          <w:lang w:eastAsia="zh-CN"/>
        </w:rPr>
      </w:pPr>
      <w:r>
        <w:rPr>
          <w:rFonts w:hint="eastAsia" w:ascii="微软雅黑" w:hAnsi="微软雅黑" w:eastAsia="微软雅黑" w:cs="微软雅黑"/>
          <w:b/>
          <w:bCs/>
          <w:lang w:val="en-US" w:eastAsia="zh-CN"/>
        </w:rPr>
        <w:t>表</w:t>
      </w:r>
      <w:r>
        <w:rPr>
          <w:b/>
          <w:bCs/>
          <w:lang w:eastAsia="zh-CN"/>
        </w:rPr>
        <w:t xml:space="preserve">5.7. </w:t>
      </w:r>
      <w:r>
        <w:rPr>
          <w:rFonts w:hint="eastAsia" w:ascii="微软雅黑" w:hAnsi="微软雅黑" w:eastAsia="微软雅黑" w:cs="微软雅黑"/>
          <w:b/>
          <w:bCs/>
          <w:lang w:eastAsia="zh-CN"/>
        </w:rPr>
        <w:t>模块</w:t>
      </w:r>
      <w:r>
        <w:rPr>
          <w:rFonts w:hint="eastAsia"/>
          <w:b/>
          <w:bCs/>
          <w:lang w:eastAsia="zh-CN"/>
        </w:rPr>
        <w:t>1</w:t>
      </w:r>
      <w:r>
        <w:rPr>
          <w:rFonts w:hint="eastAsia" w:ascii="微软雅黑" w:hAnsi="微软雅黑" w:eastAsia="微软雅黑" w:cs="微软雅黑"/>
          <w:b/>
          <w:bCs/>
          <w:lang w:eastAsia="zh-CN"/>
        </w:rPr>
        <w:t>要求开展的活动和交付的产出</w:t>
      </w:r>
    </w:p>
    <w:tbl>
      <w:tblPr>
        <w:tblStyle w:val="368"/>
        <w:tblW w:w="0" w:type="auto"/>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603"/>
        <w:gridCol w:w="2370"/>
        <w:gridCol w:w="5625"/>
        <w:gridCol w:w="125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25" w:hRule="atLeast"/>
        </w:trPr>
        <w:tc>
          <w:tcPr>
            <w:tcW w:w="0" w:type="auto"/>
            <w:shd w:val="clear" w:color="auto" w:fill="auto"/>
            <w:vAlign w:val="center"/>
          </w:tcPr>
          <w:p>
            <w:pPr>
              <w:keepNext/>
              <w:keepLines/>
              <w:spacing w:before="60" w:after="60"/>
              <w:jc w:val="center"/>
              <w:rPr>
                <w:rFonts w:ascii="微软雅黑" w:hAnsi="微软雅黑" w:eastAsia="微软雅黑" w:cs="微软雅黑"/>
                <w:b/>
                <w:bCs/>
                <w:color w:val="auto"/>
                <w:sz w:val="20"/>
                <w:szCs w:val="20"/>
                <w:lang w:eastAsia="en-US"/>
              </w:rPr>
            </w:pPr>
            <w:r>
              <w:rPr>
                <w:rFonts w:hint="eastAsia" w:ascii="微软雅黑" w:hAnsi="微软雅黑" w:eastAsia="微软雅黑" w:cs="微软雅黑"/>
                <w:b/>
                <w:bCs/>
                <w:color w:val="auto"/>
                <w:sz w:val="20"/>
                <w:szCs w:val="20"/>
                <w:lang w:eastAsia="en-US"/>
              </w:rPr>
              <w:t>项目</w:t>
            </w:r>
          </w:p>
        </w:tc>
        <w:tc>
          <w:tcPr>
            <w:tcW w:w="0" w:type="auto"/>
            <w:shd w:val="clear" w:color="auto" w:fill="auto"/>
            <w:vAlign w:val="center"/>
          </w:tcPr>
          <w:p>
            <w:pPr>
              <w:keepNext/>
              <w:keepLines/>
              <w:spacing w:before="60" w:after="60"/>
              <w:jc w:val="center"/>
              <w:rPr>
                <w:rFonts w:ascii="微软雅黑" w:hAnsi="微软雅黑" w:eastAsia="微软雅黑" w:cs="微软雅黑"/>
                <w:b/>
                <w:bCs/>
                <w:color w:val="auto"/>
                <w:sz w:val="20"/>
                <w:szCs w:val="20"/>
                <w:lang w:val="en-US" w:eastAsia="zh-CN"/>
              </w:rPr>
            </w:pPr>
            <w:r>
              <w:rPr>
                <w:rFonts w:hint="eastAsia" w:ascii="微软雅黑" w:hAnsi="微软雅黑" w:eastAsia="微软雅黑" w:cs="微软雅黑"/>
                <w:b/>
                <w:bCs/>
                <w:color w:val="auto"/>
                <w:sz w:val="20"/>
                <w:szCs w:val="20"/>
                <w:lang w:val="en-US" w:eastAsia="zh-CN"/>
              </w:rPr>
              <w:t>活动</w:t>
            </w:r>
          </w:p>
        </w:tc>
        <w:tc>
          <w:tcPr>
            <w:tcW w:w="0" w:type="auto"/>
            <w:shd w:val="clear" w:color="auto" w:fill="auto"/>
            <w:vAlign w:val="center"/>
          </w:tcPr>
          <w:p>
            <w:pPr>
              <w:keepNext/>
              <w:keepLines/>
              <w:spacing w:before="60" w:after="60"/>
              <w:jc w:val="center"/>
              <w:rPr>
                <w:rFonts w:ascii="微软雅黑" w:hAnsi="微软雅黑" w:eastAsia="微软雅黑" w:cs="微软雅黑"/>
                <w:b/>
                <w:bCs/>
                <w:color w:val="auto"/>
                <w:sz w:val="20"/>
                <w:szCs w:val="20"/>
                <w:lang w:eastAsia="zh-CN"/>
              </w:rPr>
            </w:pPr>
            <w:r>
              <w:rPr>
                <w:rFonts w:hint="eastAsia" w:ascii="微软雅黑" w:hAnsi="微软雅黑" w:eastAsia="微软雅黑" w:cs="微软雅黑"/>
                <w:b/>
                <w:bCs/>
                <w:color w:val="auto"/>
                <w:sz w:val="20"/>
                <w:szCs w:val="20"/>
                <w:lang w:val="en-US" w:eastAsia="zh-CN"/>
              </w:rPr>
              <w:t>产出</w:t>
            </w:r>
          </w:p>
        </w:tc>
        <w:tc>
          <w:tcPr>
            <w:tcW w:w="0" w:type="auto"/>
            <w:shd w:val="clear" w:color="auto" w:fill="auto"/>
            <w:vAlign w:val="center"/>
          </w:tcPr>
          <w:p>
            <w:pPr>
              <w:keepNext/>
              <w:keepLines/>
              <w:tabs>
                <w:tab w:val="right" w:pos="2052"/>
              </w:tabs>
              <w:spacing w:before="60" w:after="60"/>
              <w:jc w:val="center"/>
              <w:rPr>
                <w:rFonts w:ascii="微软雅黑" w:hAnsi="微软雅黑" w:eastAsia="微软雅黑" w:cs="微软雅黑"/>
                <w:b/>
                <w:bCs/>
                <w:color w:val="auto"/>
                <w:sz w:val="20"/>
                <w:szCs w:val="20"/>
                <w:lang w:eastAsia="zh-CN"/>
              </w:rPr>
            </w:pPr>
            <w:r>
              <w:rPr>
                <w:rFonts w:hint="eastAsia" w:ascii="微软雅黑" w:hAnsi="微软雅黑" w:eastAsia="微软雅黑" w:cs="微软雅黑"/>
                <w:b/>
                <w:bCs/>
                <w:color w:val="auto"/>
                <w:sz w:val="20"/>
                <w:szCs w:val="20"/>
                <w:lang w:val="en-US" w:eastAsia="zh-CN"/>
              </w:rPr>
              <w:t>相关指导材料</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07" w:hRule="atLeast"/>
        </w:trPr>
        <w:tc>
          <w:tcPr>
            <w:tcW w:w="0" w:type="auto"/>
            <w:tcBorders>
              <w:top w:val="single" w:color="808080" w:sz="4" w:space="0"/>
              <w:left w:val="single" w:color="808080" w:sz="4" w:space="0"/>
              <w:bottom w:val="single" w:color="808080" w:sz="4" w:space="0"/>
              <w:right w:val="single" w:color="808080" w:sz="4" w:space="0"/>
            </w:tcBorders>
            <w:shd w:val="clear" w:color="auto" w:fill="auto"/>
          </w:tcPr>
          <w:p>
            <w:pPr>
              <w:keepNext/>
              <w:keepLines/>
              <w:spacing w:before="60" w:after="60"/>
              <w:jc w:val="center"/>
              <w:rPr>
                <w:rFonts w:eastAsia="Segoe UI" w:cs="Segoe UI"/>
                <w:color w:val="auto"/>
                <w:sz w:val="20"/>
                <w:szCs w:val="20"/>
                <w:lang w:eastAsia="en-US"/>
              </w:rPr>
            </w:pPr>
            <w:r>
              <w:rPr>
                <w:rFonts w:eastAsia="Segoe UI" w:cs="Segoe UI"/>
                <w:color w:val="auto"/>
                <w:sz w:val="20"/>
                <w:szCs w:val="20"/>
                <w:lang w:eastAsia="en-US"/>
              </w:rPr>
              <w:t>1.1</w:t>
            </w:r>
          </w:p>
        </w:tc>
        <w:tc>
          <w:tcPr>
            <w:tcW w:w="0" w:type="auto"/>
            <w:tcBorders>
              <w:top w:val="single" w:color="808080" w:sz="4" w:space="0"/>
              <w:left w:val="single" w:color="808080" w:sz="4" w:space="0"/>
              <w:bottom w:val="single" w:color="808080" w:sz="4" w:space="0"/>
              <w:right w:val="single" w:color="808080" w:sz="4" w:space="0"/>
            </w:tcBorders>
            <w:shd w:val="clear" w:color="auto" w:fill="auto"/>
          </w:tcPr>
          <w:p>
            <w:pPr>
              <w:keepNext/>
              <w:keepLines/>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进行国家</w:t>
            </w:r>
            <w:r>
              <w:rPr>
                <w:rFonts w:eastAsia="宋体" w:cs="Verdana"/>
                <w:color w:val="auto"/>
                <w:sz w:val="20"/>
                <w:szCs w:val="20"/>
                <w:lang w:eastAsia="zh-CN"/>
              </w:rPr>
              <w:t>GBON</w:t>
            </w:r>
            <w:r>
              <w:rPr>
                <w:rFonts w:hint="eastAsia" w:ascii="宋体" w:hAnsi="宋体" w:eastAsia="宋体" w:cs="宋体"/>
                <w:color w:val="auto"/>
                <w:sz w:val="20"/>
                <w:szCs w:val="20"/>
                <w:lang w:eastAsia="zh-CN"/>
              </w:rPr>
              <w:t>差距分析</w:t>
            </w:r>
          </w:p>
        </w:tc>
        <w:tc>
          <w:tcPr>
            <w:tcW w:w="0" w:type="auto"/>
            <w:tcBorders>
              <w:top w:val="single" w:color="808080" w:sz="4" w:space="0"/>
              <w:left w:val="single" w:color="808080" w:sz="4" w:space="0"/>
              <w:bottom w:val="single" w:color="808080" w:sz="4" w:space="0"/>
              <w:right w:val="single" w:color="808080" w:sz="4" w:space="0"/>
            </w:tcBorders>
            <w:shd w:val="clear" w:color="auto" w:fill="auto"/>
          </w:tcPr>
          <w:p>
            <w:pPr>
              <w:keepNext/>
              <w:keepLines/>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以差距分析结果为基线</w:t>
            </w:r>
          </w:p>
        </w:tc>
        <w:tc>
          <w:tcPr>
            <w:tcW w:w="0" w:type="auto"/>
            <w:tcBorders>
              <w:top w:val="single" w:color="808080" w:sz="4" w:space="0"/>
              <w:left w:val="single" w:color="808080" w:sz="4" w:space="0"/>
              <w:bottom w:val="single" w:color="808080" w:sz="4" w:space="0"/>
              <w:right w:val="single" w:color="808080" w:sz="4" w:space="0"/>
            </w:tcBorders>
            <w:shd w:val="clear" w:color="auto" w:fill="auto"/>
            <w:vAlign w:val="center"/>
          </w:tcPr>
          <w:p>
            <w:pPr>
              <w:keepNext/>
              <w:keepLines/>
              <w:spacing w:before="60" w:after="60"/>
              <w:rPr>
                <w:rFonts w:ascii="宋体" w:hAnsi="宋体" w:eastAsia="宋体" w:cs="宋体"/>
                <w:color w:val="auto"/>
                <w:sz w:val="20"/>
                <w:szCs w:val="20"/>
                <w:lang w:eastAsia="en-US"/>
              </w:rPr>
            </w:pPr>
            <w:r>
              <w:rPr>
                <w:rFonts w:hint="eastAsia" w:ascii="宋体" w:hAnsi="宋体" w:eastAsia="宋体" w:cs="宋体"/>
                <w:color w:val="auto"/>
                <w:sz w:val="20"/>
                <w:szCs w:val="20"/>
                <w:lang w:eastAsia="en-US"/>
              </w:rPr>
              <w:t>见上文</w:t>
            </w:r>
            <w:r>
              <w:rPr>
                <w:rFonts w:eastAsia="宋体" w:cs="Verdana"/>
                <w:color w:val="auto"/>
                <w:sz w:val="20"/>
                <w:szCs w:val="20"/>
                <w:lang w:eastAsia="en-US"/>
              </w:rPr>
              <w:t>5.2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07" w:hRule="atLeast"/>
        </w:trPr>
        <w:tc>
          <w:tcPr>
            <w:tcW w:w="0" w:type="auto"/>
            <w:tcBorders>
              <w:top w:val="single" w:color="808080" w:sz="4" w:space="0"/>
              <w:left w:val="single" w:color="808080" w:sz="4" w:space="0"/>
              <w:bottom w:val="single" w:color="808080" w:sz="4" w:space="0"/>
              <w:right w:val="single" w:color="808080" w:sz="4" w:space="0"/>
            </w:tcBorders>
            <w:shd w:val="clear" w:color="auto" w:fill="auto"/>
          </w:tcPr>
          <w:p>
            <w:pPr>
              <w:keepNext/>
              <w:keepLines/>
              <w:spacing w:before="60" w:after="60"/>
              <w:jc w:val="center"/>
              <w:rPr>
                <w:rFonts w:eastAsia="Segoe UI" w:cs="Segoe UI"/>
                <w:color w:val="auto"/>
                <w:sz w:val="20"/>
                <w:szCs w:val="20"/>
                <w:lang w:eastAsia="en-US"/>
              </w:rPr>
            </w:pPr>
            <w:r>
              <w:rPr>
                <w:rFonts w:eastAsia="Segoe UI" w:cs="Segoe UI"/>
                <w:color w:val="auto"/>
                <w:sz w:val="20"/>
                <w:szCs w:val="20"/>
                <w:lang w:eastAsia="en-US"/>
              </w:rPr>
              <w:t>1.2</w:t>
            </w:r>
          </w:p>
        </w:tc>
        <w:tc>
          <w:tcPr>
            <w:tcW w:w="0" w:type="auto"/>
            <w:tcBorders>
              <w:top w:val="single" w:color="808080" w:sz="4" w:space="0"/>
              <w:left w:val="single" w:color="808080" w:sz="4" w:space="0"/>
              <w:bottom w:val="single" w:color="808080" w:sz="4" w:space="0"/>
              <w:right w:val="single" w:color="808080" w:sz="4" w:space="0"/>
            </w:tcBorders>
            <w:shd w:val="clear" w:color="auto" w:fill="auto"/>
          </w:tcPr>
          <w:p>
            <w:pPr>
              <w:keepNext/>
              <w:keepLines/>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制定</w:t>
            </w:r>
            <w:r>
              <w:rPr>
                <w:rFonts w:eastAsia="宋体" w:cs="Verdana"/>
                <w:color w:val="auto"/>
                <w:sz w:val="20"/>
                <w:szCs w:val="20"/>
                <w:lang w:eastAsia="zh-CN"/>
              </w:rPr>
              <w:t>GBON</w:t>
            </w:r>
            <w:r>
              <w:rPr>
                <w:rFonts w:hint="eastAsia" w:eastAsia="宋体" w:cs="Verdana"/>
                <w:color w:val="auto"/>
                <w:sz w:val="20"/>
                <w:szCs w:val="20"/>
                <w:lang w:eastAsia="zh-CN"/>
              </w:rPr>
              <w:t>合规</w:t>
            </w:r>
            <w:r>
              <w:rPr>
                <w:rFonts w:hint="eastAsia" w:ascii="宋体" w:hAnsi="宋体" w:eastAsia="宋体" w:cs="宋体"/>
                <w:color w:val="auto"/>
                <w:sz w:val="20"/>
                <w:szCs w:val="20"/>
                <w:lang w:eastAsia="zh-CN"/>
              </w:rPr>
              <w:t>的国家目标</w:t>
            </w:r>
          </w:p>
        </w:tc>
        <w:tc>
          <w:tcPr>
            <w:tcW w:w="0" w:type="auto"/>
            <w:tcBorders>
              <w:top w:val="single" w:color="808080" w:sz="4" w:space="0"/>
              <w:left w:val="single" w:color="808080" w:sz="4" w:space="0"/>
              <w:bottom w:val="single" w:color="808080" w:sz="4" w:space="0"/>
              <w:right w:val="single" w:color="808080" w:sz="4" w:space="0"/>
            </w:tcBorders>
            <w:shd w:val="clear" w:color="auto" w:fill="auto"/>
          </w:tcPr>
          <w:p>
            <w:pPr>
              <w:keepNext/>
              <w:keepLines/>
              <w:spacing w:before="60" w:after="60"/>
              <w:ind w:left="21"/>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根据差距分析，设定新/改进台站的数量目标，以及交换报告百分比的目标</w:t>
            </w:r>
          </w:p>
        </w:tc>
        <w:tc>
          <w:tcPr>
            <w:tcW w:w="0" w:type="auto"/>
            <w:tcBorders>
              <w:top w:val="single" w:color="808080" w:sz="4" w:space="0"/>
              <w:left w:val="single" w:color="808080" w:sz="4" w:space="0"/>
              <w:bottom w:val="single" w:color="808080" w:sz="4" w:space="0"/>
              <w:right w:val="single" w:color="808080" w:sz="4" w:space="0"/>
            </w:tcBorders>
            <w:shd w:val="clear" w:color="auto" w:fill="auto"/>
          </w:tcPr>
          <w:p>
            <w:pPr>
              <w:keepNext/>
              <w:keepLines/>
              <w:spacing w:before="60" w:after="60"/>
              <w:rPr>
                <w:rFonts w:ascii="宋体" w:hAnsi="宋体" w:eastAsia="宋体" w:cs="宋体"/>
                <w:i/>
                <w:iCs/>
                <w:color w:val="auto"/>
                <w:sz w:val="20"/>
                <w:szCs w:val="20"/>
                <w:highlight w:val="yellow"/>
                <w:lang w:eastAsia="zh-CN"/>
              </w:rPr>
            </w:pPr>
          </w:p>
        </w:tc>
      </w:tr>
    </w:tbl>
    <w:p>
      <w:pPr>
        <w:rPr>
          <w:rFonts w:eastAsia="Segoe UI" w:cs="Segoe UI"/>
          <w:b/>
          <w:bCs/>
          <w:color w:val="auto"/>
          <w:lang w:eastAsia="zh-CN"/>
        </w:rPr>
      </w:pPr>
      <w:bookmarkStart w:id="33" w:name="_Toc1323153424"/>
      <w:bookmarkStart w:id="34" w:name="_Toc107569110"/>
      <w:bookmarkStart w:id="35" w:name="_Toc713315506"/>
      <w:bookmarkStart w:id="36" w:name="_Toc1265155489"/>
    </w:p>
    <w:bookmarkEnd w:id="33"/>
    <w:bookmarkEnd w:id="34"/>
    <w:bookmarkEnd w:id="35"/>
    <w:bookmarkEnd w:id="36"/>
    <w:p>
      <w:pPr>
        <w:spacing w:after="240" w:line="240" w:lineRule="exact"/>
        <w:rPr>
          <w:rFonts w:eastAsia="Segoe UI" w:cs="Segoe UI"/>
          <w:b/>
          <w:bCs/>
          <w:color w:val="auto"/>
          <w:lang w:eastAsia="zh-CN"/>
        </w:rPr>
      </w:pPr>
      <w:r>
        <w:rPr>
          <w:rFonts w:hint="eastAsia" w:ascii="微软雅黑" w:hAnsi="微软雅黑" w:eastAsia="微软雅黑" w:cs="微软雅黑"/>
          <w:b/>
          <w:bCs/>
          <w:color w:val="auto"/>
          <w:lang w:eastAsia="zh-CN"/>
        </w:rPr>
        <w:t>模块</w:t>
      </w:r>
      <w:r>
        <w:rPr>
          <w:rFonts w:hint="eastAsia" w:eastAsia="宋体" w:cs="Segoe UI"/>
          <w:b/>
          <w:bCs/>
          <w:color w:val="auto"/>
          <w:lang w:val="en-US" w:eastAsia="zh-CN"/>
        </w:rPr>
        <w:t>2.</w:t>
      </w:r>
      <w:r>
        <w:rPr>
          <w:rFonts w:hint="eastAsia" w:ascii="微软雅黑" w:hAnsi="微软雅黑" w:eastAsia="微软雅黑" w:cs="微软雅黑"/>
          <w:b/>
          <w:bCs/>
          <w:color w:val="auto"/>
          <w:lang w:eastAsia="zh-CN"/>
        </w:rPr>
        <w:t xml:space="preserve"> </w:t>
      </w:r>
      <w:r>
        <w:rPr>
          <w:rFonts w:hint="eastAsia" w:ascii="微软雅黑" w:hAnsi="微软雅黑" w:eastAsia="微软雅黑" w:cs="微软雅黑"/>
          <w:b/>
          <w:bCs/>
          <w:color w:val="auto"/>
          <w:lang w:val="en-US" w:eastAsia="zh-CN"/>
        </w:rPr>
        <w:t>制度</w:t>
      </w:r>
      <w:r>
        <w:rPr>
          <w:rFonts w:hint="eastAsia" w:ascii="微软雅黑" w:hAnsi="微软雅黑" w:eastAsia="微软雅黑" w:cs="微软雅黑"/>
          <w:b/>
          <w:bCs/>
          <w:color w:val="auto"/>
          <w:lang w:eastAsia="zh-CN"/>
        </w:rPr>
        <w:t>能力发展</w:t>
      </w:r>
    </w:p>
    <w:p>
      <w:pPr>
        <w:spacing w:after="240" w:line="240" w:lineRule="exact"/>
        <w:rPr>
          <w:rFonts w:ascii="宋体" w:hAnsi="宋体" w:eastAsia="宋体" w:cs="宋体"/>
          <w:color w:val="auto"/>
          <w:lang w:eastAsia="zh-CN"/>
        </w:rPr>
      </w:pPr>
      <w:r>
        <w:rPr>
          <w:rFonts w:hint="eastAsia" w:ascii="宋体" w:hAnsi="宋体" w:eastAsia="宋体" w:cs="宋体"/>
          <w:color w:val="auto"/>
          <w:lang w:eastAsia="zh-CN"/>
        </w:rPr>
        <w:t>评估会员的制度能力，包括</w:t>
      </w:r>
      <w:r>
        <w:rPr>
          <w:rFonts w:eastAsia="宋体" w:cs="Verdana"/>
          <w:color w:val="auto"/>
          <w:lang w:eastAsia="zh-CN"/>
        </w:rPr>
        <w:t>NMHS</w:t>
      </w:r>
      <w:r>
        <w:rPr>
          <w:rFonts w:hint="eastAsia" w:ascii="宋体" w:hAnsi="宋体" w:eastAsia="宋体" w:cs="宋体"/>
          <w:color w:val="auto"/>
          <w:lang w:eastAsia="zh-CN"/>
        </w:rPr>
        <w:t>与其他国家政府和私人伙伴、次区域和区域</w:t>
      </w:r>
      <w:r>
        <w:rPr>
          <w:rFonts w:eastAsia="宋体" w:cs="Verdana"/>
          <w:color w:val="auto"/>
          <w:lang w:eastAsia="zh-CN"/>
        </w:rPr>
        <w:t>GBON</w:t>
      </w:r>
      <w:r>
        <w:rPr>
          <w:rFonts w:hint="eastAsia" w:ascii="宋体" w:hAnsi="宋体" w:eastAsia="宋体" w:cs="宋体"/>
          <w:color w:val="auto"/>
          <w:lang w:eastAsia="zh-CN"/>
        </w:rPr>
        <w:t>利益相关方的伙伴关系，以及财政能力，以加强运行和维护观测网的资源和活动。</w:t>
      </w:r>
    </w:p>
    <w:p>
      <w:pPr>
        <w:spacing w:after="240" w:line="240" w:lineRule="exact"/>
        <w:rPr>
          <w:rFonts w:ascii="宋体" w:hAnsi="宋体" w:eastAsia="宋体" w:cs="宋体"/>
          <w:color w:val="auto"/>
          <w:lang w:eastAsia="zh-CN"/>
        </w:rPr>
      </w:pPr>
      <w:r>
        <w:rPr>
          <w:rFonts w:hint="eastAsia" w:ascii="宋体" w:hAnsi="宋体" w:eastAsia="宋体" w:cs="宋体"/>
          <w:color w:val="auto"/>
          <w:lang w:eastAsia="zh-CN"/>
        </w:rPr>
        <w:t>本模块还要求评估会员发展和改进观测网的现有战略，以及评估</w:t>
      </w:r>
      <w:r>
        <w:rPr>
          <w:rFonts w:eastAsia="宋体" w:cs="Verdana"/>
          <w:color w:val="auto"/>
          <w:lang w:eastAsia="zh-CN"/>
        </w:rPr>
        <w:t>GBON</w:t>
      </w:r>
      <w:r>
        <w:rPr>
          <w:rFonts w:hint="eastAsia" w:ascii="宋体" w:hAnsi="宋体" w:eastAsia="宋体" w:cs="宋体"/>
          <w:color w:val="auto"/>
          <w:lang w:eastAsia="zh-CN"/>
        </w:rPr>
        <w:t>规则方面的国家立法。模块</w:t>
      </w:r>
      <w:r>
        <w:rPr>
          <w:rFonts w:eastAsia="宋体" w:cs="Verdana"/>
          <w:color w:val="auto"/>
          <w:lang w:eastAsia="zh-CN"/>
        </w:rPr>
        <w:t>2</w:t>
      </w:r>
      <w:r>
        <w:rPr>
          <w:rFonts w:hint="eastAsia" w:ascii="宋体" w:hAnsi="宋体" w:eastAsia="宋体" w:cs="宋体"/>
          <w:color w:val="auto"/>
          <w:lang w:eastAsia="zh-CN"/>
        </w:rPr>
        <w:t>的活动和输出见表</w:t>
      </w:r>
      <w:r>
        <w:rPr>
          <w:rFonts w:eastAsia="宋体" w:cs="Verdana"/>
          <w:color w:val="auto"/>
          <w:lang w:eastAsia="zh-CN"/>
        </w:rPr>
        <w:t>5.8</w:t>
      </w:r>
      <w:r>
        <w:rPr>
          <w:rFonts w:hint="eastAsia" w:ascii="宋体" w:hAnsi="宋体" w:eastAsia="宋体" w:cs="宋体"/>
          <w:color w:val="auto"/>
          <w:lang w:eastAsia="zh-CN"/>
        </w:rPr>
        <w:t>。</w:t>
      </w:r>
    </w:p>
    <w:p>
      <w:pPr>
        <w:spacing w:after="240" w:line="240" w:lineRule="exact"/>
        <w:jc w:val="center"/>
        <w:rPr>
          <w:rFonts w:eastAsia="微软雅黑"/>
          <w:b/>
          <w:bCs/>
          <w:lang w:eastAsia="zh-CN"/>
        </w:rPr>
      </w:pPr>
      <w:r>
        <w:rPr>
          <w:rFonts w:hint="eastAsia" w:ascii="微软雅黑" w:hAnsi="微软雅黑" w:eastAsia="微软雅黑" w:cs="微软雅黑"/>
          <w:b/>
          <w:bCs/>
          <w:lang w:val="en-US" w:eastAsia="zh-CN"/>
        </w:rPr>
        <w:t>表</w:t>
      </w:r>
      <w:r>
        <w:rPr>
          <w:b/>
          <w:bCs/>
          <w:lang w:eastAsia="zh-CN"/>
        </w:rPr>
        <w:t xml:space="preserve">5.8. </w:t>
      </w:r>
      <w:bookmarkStart w:id="37" w:name="OLE_LINK6"/>
      <w:r>
        <w:rPr>
          <w:rFonts w:hint="eastAsia" w:ascii="微软雅黑" w:hAnsi="微软雅黑" w:eastAsia="微软雅黑" w:cs="微软雅黑"/>
          <w:b/>
          <w:bCs/>
          <w:lang w:eastAsia="zh-CN"/>
        </w:rPr>
        <w:t>模块</w:t>
      </w:r>
      <w:r>
        <w:rPr>
          <w:rFonts w:hint="eastAsia" w:eastAsia="宋体"/>
          <w:b/>
          <w:bCs/>
          <w:lang w:val="en-US" w:eastAsia="zh-CN"/>
        </w:rPr>
        <w:t>2</w:t>
      </w:r>
      <w:r>
        <w:rPr>
          <w:rFonts w:hint="eastAsia" w:ascii="微软雅黑" w:hAnsi="微软雅黑" w:eastAsia="微软雅黑" w:cs="微软雅黑"/>
          <w:b/>
          <w:bCs/>
          <w:lang w:eastAsia="zh-CN"/>
        </w:rPr>
        <w:t>要求</w:t>
      </w:r>
      <w:bookmarkEnd w:id="37"/>
      <w:r>
        <w:rPr>
          <w:rFonts w:hint="eastAsia" w:ascii="微软雅黑" w:hAnsi="微软雅黑" w:eastAsia="微软雅黑" w:cs="微软雅黑"/>
          <w:b/>
          <w:bCs/>
          <w:lang w:eastAsia="zh-CN"/>
        </w:rPr>
        <w:t>开展的活动和交付的产出</w:t>
      </w:r>
    </w:p>
    <w:tbl>
      <w:tblPr>
        <w:tblStyle w:val="368"/>
        <w:tblW w:w="5000" w:type="pct"/>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627"/>
        <w:gridCol w:w="3011"/>
        <w:gridCol w:w="3833"/>
        <w:gridCol w:w="238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54" w:hRule="atLeast"/>
          <w:tblHeader/>
        </w:trPr>
        <w:tc>
          <w:tcPr>
            <w:tcW w:w="627" w:type="dxa"/>
            <w:vMerge w:val="restart"/>
            <w:shd w:val="clear" w:color="auto" w:fill="F1F1F1" w:themeFill="background1" w:themeFillShade="F2"/>
            <w:vAlign w:val="center"/>
          </w:tcPr>
          <w:p>
            <w:pPr>
              <w:keepNext/>
              <w:keepLine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eastAsia="en-US"/>
              </w:rPr>
              <w:t>项目</w:t>
            </w:r>
          </w:p>
        </w:tc>
        <w:tc>
          <w:tcPr>
            <w:tcW w:w="3011" w:type="dxa"/>
            <w:vMerge w:val="restart"/>
            <w:shd w:val="clear" w:color="auto" w:fill="F1F1F1" w:themeFill="background1" w:themeFillShade="F2"/>
            <w:vAlign w:val="center"/>
          </w:tcPr>
          <w:p>
            <w:pPr>
              <w:keepNext/>
              <w:keepLine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val="en-US" w:eastAsia="zh-CN"/>
              </w:rPr>
              <w:t>活动</w:t>
            </w:r>
          </w:p>
        </w:tc>
        <w:tc>
          <w:tcPr>
            <w:tcW w:w="3833" w:type="dxa"/>
            <w:vMerge w:val="restart"/>
            <w:shd w:val="clear" w:color="auto" w:fill="F1F1F1" w:themeFill="background1" w:themeFillShade="F2"/>
            <w:vAlign w:val="center"/>
          </w:tcPr>
          <w:p>
            <w:pPr>
              <w:keepNext/>
              <w:keepLine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val="en-US" w:eastAsia="zh-CN"/>
              </w:rPr>
              <w:t>产出</w:t>
            </w:r>
          </w:p>
        </w:tc>
        <w:tc>
          <w:tcPr>
            <w:tcW w:w="2384" w:type="dxa"/>
            <w:vMerge w:val="restart"/>
            <w:shd w:val="clear" w:color="auto" w:fill="F1F1F1" w:themeFill="background1" w:themeFillShade="F2"/>
            <w:vAlign w:val="center"/>
          </w:tcPr>
          <w:p>
            <w:pPr>
              <w:keepNext/>
              <w:keepLines/>
              <w:tabs>
                <w:tab w:val="right" w:pos="2052"/>
              </w:tab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val="en-US" w:eastAsia="zh-CN"/>
              </w:rPr>
              <w:t>相关指导材料</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63" w:hRule="atLeast"/>
          <w:tblHeader/>
        </w:trPr>
        <w:tc>
          <w:tcPr>
            <w:tcW w:w="627" w:type="dxa"/>
            <w:vMerge w:val="continue"/>
            <w:shd w:val="clear" w:color="auto" w:fill="F1F1F1" w:themeFill="background1" w:themeFillShade="F2"/>
          </w:tcPr>
          <w:p>
            <w:pPr>
              <w:spacing w:before="60" w:after="60"/>
              <w:rPr>
                <w:rFonts w:eastAsia="Calibri" w:cs="Segoe UI"/>
                <w:color w:val="auto"/>
                <w:sz w:val="20"/>
                <w:szCs w:val="20"/>
                <w:lang w:eastAsia="en-US"/>
              </w:rPr>
            </w:pPr>
          </w:p>
        </w:tc>
        <w:tc>
          <w:tcPr>
            <w:tcW w:w="3011" w:type="dxa"/>
            <w:vMerge w:val="continue"/>
            <w:shd w:val="clear" w:color="auto" w:fill="F1F1F1" w:themeFill="background1" w:themeFillShade="F2"/>
          </w:tcPr>
          <w:p>
            <w:pPr>
              <w:spacing w:before="60" w:after="60"/>
              <w:rPr>
                <w:rFonts w:eastAsia="Calibri" w:cs="Segoe UI"/>
                <w:color w:val="auto"/>
                <w:sz w:val="20"/>
                <w:szCs w:val="20"/>
                <w:lang w:eastAsia="en-US"/>
              </w:rPr>
            </w:pPr>
          </w:p>
        </w:tc>
        <w:tc>
          <w:tcPr>
            <w:tcW w:w="3833" w:type="dxa"/>
            <w:vMerge w:val="continue"/>
            <w:shd w:val="clear" w:color="auto" w:fill="F1F1F1" w:themeFill="background1" w:themeFillShade="F2"/>
          </w:tcPr>
          <w:p>
            <w:pPr>
              <w:spacing w:before="60" w:after="60"/>
              <w:rPr>
                <w:rFonts w:eastAsia="Calibri" w:cs="Segoe UI"/>
                <w:color w:val="auto"/>
                <w:sz w:val="20"/>
                <w:szCs w:val="20"/>
                <w:lang w:eastAsia="en-US"/>
              </w:rPr>
            </w:pPr>
          </w:p>
        </w:tc>
        <w:tc>
          <w:tcPr>
            <w:tcW w:w="2384" w:type="dxa"/>
            <w:vMerge w:val="continue"/>
            <w:shd w:val="clear" w:color="auto" w:fill="F1F1F1" w:themeFill="background1" w:themeFillShade="F2"/>
          </w:tcPr>
          <w:p>
            <w:pPr>
              <w:spacing w:before="60" w:after="60"/>
              <w:rPr>
                <w:rFonts w:eastAsia="Calibri" w:cs="Segoe UI"/>
                <w:color w:val="auto"/>
                <w:sz w:val="20"/>
                <w:szCs w:val="20"/>
                <w:lang w:eastAsia="en-US"/>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627"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jc w:val="center"/>
              <w:rPr>
                <w:rFonts w:eastAsia="Segoe UI" w:cs="Segoe UI"/>
                <w:color w:val="auto"/>
                <w:sz w:val="20"/>
                <w:szCs w:val="20"/>
                <w:lang w:eastAsia="en-US"/>
              </w:rPr>
            </w:pPr>
            <w:r>
              <w:rPr>
                <w:rFonts w:eastAsia="Segoe UI" w:cs="Segoe UI"/>
                <w:color w:val="auto"/>
                <w:sz w:val="20"/>
                <w:szCs w:val="20"/>
                <w:lang w:eastAsia="en-US"/>
              </w:rPr>
              <w:t>2.1</w:t>
            </w:r>
          </w:p>
        </w:tc>
        <w:tc>
          <w:tcPr>
            <w:tcW w:w="3011"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评估支持</w:t>
            </w:r>
            <w:r>
              <w:rPr>
                <w:rFonts w:eastAsia="宋体" w:cs="Verdana"/>
                <w:color w:val="auto"/>
                <w:sz w:val="20"/>
                <w:szCs w:val="20"/>
                <w:lang w:eastAsia="zh-CN"/>
              </w:rPr>
              <w:t>GBON</w:t>
            </w:r>
            <w:r>
              <w:rPr>
                <w:rFonts w:hint="eastAsia" w:eastAsia="宋体" w:cs="Verdana"/>
                <w:color w:val="auto"/>
                <w:sz w:val="20"/>
                <w:szCs w:val="20"/>
                <w:lang w:eastAsia="zh-CN"/>
              </w:rPr>
              <w:t>业务</w:t>
            </w:r>
            <w:r>
              <w:rPr>
                <w:rFonts w:hint="eastAsia" w:ascii="宋体" w:hAnsi="宋体" w:eastAsia="宋体" w:cs="宋体"/>
                <w:color w:val="auto"/>
                <w:sz w:val="20"/>
                <w:szCs w:val="20"/>
                <w:lang w:eastAsia="zh-CN"/>
              </w:rPr>
              <w:t>的政府伙伴组织</w:t>
            </w:r>
          </w:p>
        </w:tc>
        <w:tc>
          <w:tcPr>
            <w:tcW w:w="3833"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评估政府合作伙伴和利益相关方及其对</w:t>
            </w:r>
            <w:r>
              <w:rPr>
                <w:rFonts w:eastAsia="宋体" w:cs="Verdana"/>
                <w:color w:val="auto"/>
                <w:sz w:val="20"/>
                <w:szCs w:val="20"/>
                <w:lang w:eastAsia="zh-CN"/>
              </w:rPr>
              <w:t>GBON</w:t>
            </w:r>
            <w:r>
              <w:rPr>
                <w:rFonts w:hint="eastAsia" w:eastAsia="宋体" w:cs="Verdana"/>
                <w:color w:val="auto"/>
                <w:sz w:val="20"/>
                <w:szCs w:val="20"/>
                <w:lang w:eastAsia="zh-CN"/>
              </w:rPr>
              <w:t>业务</w:t>
            </w:r>
            <w:r>
              <w:rPr>
                <w:rFonts w:hint="eastAsia" w:ascii="宋体" w:hAnsi="宋体" w:eastAsia="宋体" w:cs="宋体"/>
                <w:color w:val="auto"/>
                <w:sz w:val="20"/>
                <w:szCs w:val="20"/>
                <w:lang w:eastAsia="zh-CN"/>
              </w:rPr>
              <w:t>的潜在贡献：</w:t>
            </w:r>
          </w:p>
          <w:p>
            <w:pPr>
              <w:numPr>
                <w:ilvl w:val="0"/>
                <w:numId w:val="16"/>
              </w:numPr>
              <w:spacing w:before="60" w:after="60"/>
              <w:rPr>
                <w:rFonts w:ascii="宋体" w:hAnsi="宋体" w:eastAsia="宋体" w:cs="宋体"/>
                <w:color w:val="auto"/>
                <w:sz w:val="20"/>
                <w:szCs w:val="20"/>
                <w:lang w:eastAsia="en-US"/>
              </w:rPr>
            </w:pPr>
            <w:r>
              <w:rPr>
                <w:rFonts w:hint="eastAsia" w:ascii="宋体" w:hAnsi="宋体" w:eastAsia="宋体" w:cs="宋体"/>
                <w:color w:val="auto"/>
                <w:sz w:val="20"/>
                <w:szCs w:val="20"/>
                <w:lang w:eastAsia="en-US"/>
              </w:rPr>
              <w:t>现有</w:t>
            </w:r>
            <w:r>
              <w:rPr>
                <w:rFonts w:hint="eastAsia" w:ascii="宋体" w:hAnsi="宋体" w:eastAsia="宋体" w:cs="宋体"/>
                <w:color w:val="auto"/>
                <w:sz w:val="20"/>
                <w:szCs w:val="20"/>
                <w:lang w:eastAsia="zh-CN"/>
              </w:rPr>
              <w:t>合作</w:t>
            </w:r>
            <w:r>
              <w:rPr>
                <w:rFonts w:hint="eastAsia" w:ascii="宋体" w:hAnsi="宋体" w:eastAsia="宋体" w:cs="宋体"/>
                <w:color w:val="auto"/>
                <w:sz w:val="20"/>
                <w:szCs w:val="20"/>
                <w:lang w:eastAsia="en-US"/>
              </w:rPr>
              <w:t>伙伴和关系；</w:t>
            </w:r>
          </w:p>
          <w:p>
            <w:pPr>
              <w:numPr>
                <w:ilvl w:val="0"/>
                <w:numId w:val="16"/>
              </w:num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潜在的新合作伙伴和协作方及其作用</w:t>
            </w:r>
          </w:p>
        </w:tc>
        <w:tc>
          <w:tcPr>
            <w:tcW w:w="2384"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rPr>
                <w:rFonts w:eastAsia="宋体" w:cs="Segoe UI"/>
                <w:i/>
                <w:iCs/>
                <w:color w:val="auto"/>
                <w:sz w:val="20"/>
                <w:szCs w:val="20"/>
                <w:lang w:eastAsia="zh-CN"/>
              </w:rPr>
            </w:pPr>
            <w:r>
              <w:rPr>
                <w:sz w:val="22"/>
                <w:szCs w:val="22"/>
              </w:rPr>
              <w:fldChar w:fldCharType="begin"/>
            </w:r>
            <w:r>
              <w:rPr>
                <w:sz w:val="22"/>
                <w:szCs w:val="22"/>
              </w:rPr>
              <w:instrText xml:space="preserve"> HYPERLINK "https://library.wmo.int/index.php?lvl=notice_display&amp;id=20135" \l ".Y-eQAsdBybg" </w:instrText>
            </w:r>
            <w:r>
              <w:rPr>
                <w:sz w:val="22"/>
                <w:szCs w:val="22"/>
              </w:rPr>
              <w:fldChar w:fldCharType="separate"/>
            </w:r>
            <w:r>
              <w:rPr>
                <w:rStyle w:val="43"/>
                <w:rFonts w:hint="eastAsia" w:eastAsia="宋体"/>
                <w:sz w:val="20"/>
                <w:szCs w:val="20"/>
                <w:lang w:eastAsia="zh-CN"/>
              </w:rPr>
              <w:t>《WMO全球综合观测系统指南》</w:t>
            </w:r>
            <w:r>
              <w:rPr>
                <w:rStyle w:val="43"/>
                <w:rFonts w:hint="eastAsia" w:eastAsia="宋体"/>
                <w:sz w:val="20"/>
                <w:szCs w:val="20"/>
                <w:lang w:eastAsia="zh-CN"/>
              </w:rPr>
              <w:fldChar w:fldCharType="end"/>
            </w:r>
            <w:r>
              <w:rPr>
                <w:rFonts w:hint="eastAsia" w:eastAsia="宋体"/>
                <w:sz w:val="20"/>
                <w:szCs w:val="20"/>
                <w:lang w:eastAsia="zh-CN"/>
              </w:rPr>
              <w:t>（</w:t>
            </w:r>
            <w:r>
              <w:rPr>
                <w:sz w:val="20"/>
                <w:szCs w:val="20"/>
                <w:lang w:eastAsia="en-US"/>
              </w:rPr>
              <w:t>WMO</w:t>
            </w:r>
            <w:r>
              <w:rPr>
                <w:sz w:val="20"/>
                <w:szCs w:val="20"/>
                <w:lang w:eastAsia="en-US"/>
              </w:rPr>
              <w:noBreakHyphen/>
            </w:r>
            <w:r>
              <w:rPr>
                <w:sz w:val="20"/>
                <w:szCs w:val="20"/>
                <w:lang w:eastAsia="en-US"/>
              </w:rPr>
              <w:t>No. 1165</w:t>
            </w:r>
            <w:r>
              <w:rPr>
                <w:rFonts w:hint="eastAsia" w:eastAsia="宋体"/>
                <w:sz w:val="20"/>
                <w:szCs w:val="20"/>
                <w:lang w:eastAsia="zh-CN"/>
              </w:rPr>
              <w:t>），</w:t>
            </w:r>
            <w:r>
              <w:rPr>
                <w:rFonts w:hint="eastAsia" w:eastAsia="宋体"/>
                <w:sz w:val="20"/>
                <w:szCs w:val="20"/>
                <w:lang w:val="en-US" w:eastAsia="zh-CN"/>
              </w:rPr>
              <w:t>第6章</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627"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jc w:val="center"/>
              <w:rPr>
                <w:rFonts w:eastAsia="Segoe UI" w:cs="Segoe UI"/>
                <w:color w:val="auto"/>
                <w:sz w:val="20"/>
                <w:szCs w:val="20"/>
                <w:lang w:eastAsia="en-US"/>
              </w:rPr>
            </w:pPr>
            <w:r>
              <w:rPr>
                <w:rFonts w:eastAsia="Segoe UI" w:cs="Segoe UI"/>
                <w:color w:val="auto"/>
                <w:sz w:val="20"/>
                <w:szCs w:val="20"/>
                <w:lang w:eastAsia="en-US"/>
              </w:rPr>
              <w:t>2.2</w:t>
            </w:r>
          </w:p>
        </w:tc>
        <w:tc>
          <w:tcPr>
            <w:tcW w:w="3011"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rPr>
                <w:rFonts w:ascii="宋体" w:hAnsi="宋体" w:eastAsia="宋体" w:cs="宋体"/>
                <w:color w:val="auto"/>
                <w:sz w:val="20"/>
                <w:szCs w:val="20"/>
                <w:lang w:val="en-US" w:eastAsia="zh-CN"/>
              </w:rPr>
            </w:pPr>
            <w:r>
              <w:rPr>
                <w:rFonts w:hint="eastAsia" w:ascii="宋体" w:hAnsi="宋体" w:eastAsia="宋体" w:cs="宋体"/>
                <w:color w:val="auto"/>
                <w:sz w:val="20"/>
                <w:szCs w:val="20"/>
                <w:lang w:eastAsia="zh-CN"/>
              </w:rPr>
              <w:t>评估在该国提供气象观测数据的私营部门实体和支持</w:t>
            </w:r>
            <w:r>
              <w:rPr>
                <w:rFonts w:eastAsia="宋体" w:cs="Verdana"/>
                <w:color w:val="auto"/>
                <w:sz w:val="20"/>
                <w:szCs w:val="20"/>
                <w:lang w:eastAsia="zh-CN"/>
              </w:rPr>
              <w:t>GBON</w:t>
            </w:r>
            <w:r>
              <w:rPr>
                <w:rFonts w:hint="eastAsia" w:ascii="宋体" w:hAnsi="宋体" w:eastAsia="宋体" w:cs="宋体"/>
                <w:color w:val="auto"/>
                <w:sz w:val="20"/>
                <w:szCs w:val="20"/>
                <w:lang w:eastAsia="zh-CN"/>
              </w:rPr>
              <w:t>业务的潜在伙伴关系</w:t>
            </w:r>
          </w:p>
        </w:tc>
        <w:tc>
          <w:tcPr>
            <w:tcW w:w="3833"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numPr>
                <w:ilvl w:val="0"/>
                <w:numId w:val="17"/>
              </w:num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在该国提供气象观测和数据服务的私营部门运营商</w:t>
            </w:r>
          </w:p>
          <w:p>
            <w:pPr>
              <w:numPr>
                <w:ilvl w:val="0"/>
                <w:numId w:val="17"/>
              </w:num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公私合作实施计划的商业模式，包括公私合作的潜在私营部门运营商</w:t>
            </w:r>
          </w:p>
        </w:tc>
        <w:tc>
          <w:tcPr>
            <w:tcW w:w="2384"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rPr>
                <w:rFonts w:eastAsia="宋体" w:cs="Segoe UI"/>
                <w:color w:val="auto"/>
                <w:sz w:val="20"/>
                <w:szCs w:val="20"/>
                <w:lang w:eastAsia="zh-CN"/>
              </w:rPr>
            </w:pPr>
            <w:r>
              <w:rPr>
                <w:sz w:val="22"/>
                <w:szCs w:val="22"/>
              </w:rPr>
              <w:fldChar w:fldCharType="begin"/>
            </w:r>
            <w:r>
              <w:rPr>
                <w:sz w:val="22"/>
                <w:szCs w:val="22"/>
              </w:rPr>
              <w:instrText xml:space="preserve"> HYPERLINK "https://library.wmo.int/index.php?lvl=notice_display&amp;id=21950" \l ".Y-eQ_sdBybg" </w:instrText>
            </w:r>
            <w:r>
              <w:rPr>
                <w:sz w:val="22"/>
                <w:szCs w:val="22"/>
              </w:rPr>
              <w:fldChar w:fldCharType="separate"/>
            </w:r>
            <w:r>
              <w:rPr>
                <w:rStyle w:val="43"/>
                <w:rFonts w:hint="eastAsia" w:eastAsia="宋体"/>
                <w:sz w:val="20"/>
                <w:szCs w:val="20"/>
                <w:lang w:eastAsia="zh-CN"/>
              </w:rPr>
              <w:t>《公共私营参与指导原则》</w:t>
            </w:r>
            <w:r>
              <w:rPr>
                <w:rStyle w:val="43"/>
                <w:rFonts w:hint="eastAsia" w:eastAsia="宋体"/>
                <w:sz w:val="20"/>
                <w:szCs w:val="20"/>
                <w:lang w:eastAsia="zh-CN"/>
              </w:rPr>
              <w:fldChar w:fldCharType="end"/>
            </w:r>
            <w:r>
              <w:rPr>
                <w:rFonts w:hint="eastAsia" w:eastAsia="宋体"/>
                <w:sz w:val="20"/>
                <w:szCs w:val="20"/>
                <w:lang w:eastAsia="zh-CN"/>
              </w:rPr>
              <w:t>（</w:t>
            </w:r>
            <w:r>
              <w:rPr>
                <w:rFonts w:eastAsia="Segoe UI" w:cs="Segoe UI"/>
                <w:color w:val="auto"/>
                <w:sz w:val="20"/>
                <w:szCs w:val="20"/>
                <w:lang w:eastAsia="en-US"/>
              </w:rPr>
              <w:t>WMO</w:t>
            </w:r>
            <w:r>
              <w:rPr>
                <w:rFonts w:eastAsia="Segoe UI" w:cs="Segoe UI"/>
                <w:color w:val="auto"/>
                <w:sz w:val="20"/>
                <w:szCs w:val="20"/>
                <w:lang w:eastAsia="en-US"/>
              </w:rPr>
              <w:noBreakHyphen/>
            </w:r>
            <w:r>
              <w:rPr>
                <w:rFonts w:eastAsia="Segoe UI" w:cs="Segoe UI"/>
                <w:color w:val="auto"/>
                <w:sz w:val="20"/>
                <w:szCs w:val="20"/>
                <w:lang w:eastAsia="en-US"/>
              </w:rPr>
              <w:t>No. 1258</w:t>
            </w:r>
            <w:r>
              <w:rPr>
                <w:rFonts w:hint="eastAsia" w:eastAsia="宋体" w:cs="Segoe UI"/>
                <w:color w:val="auto"/>
                <w:sz w:val="20"/>
                <w:szCs w:val="20"/>
                <w:lang w:eastAsia="zh-CN"/>
              </w:rPr>
              <w:t>）</w:t>
            </w:r>
          </w:p>
          <w:p>
            <w:pPr>
              <w:spacing w:before="60" w:after="60"/>
              <w:rPr>
                <w:rFonts w:eastAsia="Segoe UI" w:cs="Segoe UI"/>
                <w:color w:val="auto"/>
                <w:sz w:val="20"/>
                <w:szCs w:val="20"/>
                <w:lang w:eastAsia="en-US"/>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627"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jc w:val="center"/>
              <w:rPr>
                <w:rFonts w:eastAsia="Segoe UI" w:cs="Segoe UI"/>
                <w:color w:val="auto"/>
                <w:sz w:val="20"/>
                <w:szCs w:val="20"/>
                <w:lang w:eastAsia="en-US"/>
              </w:rPr>
            </w:pPr>
            <w:r>
              <w:rPr>
                <w:rFonts w:eastAsia="Segoe UI" w:cs="Segoe UI"/>
                <w:color w:val="auto"/>
                <w:sz w:val="20"/>
                <w:szCs w:val="20"/>
                <w:lang w:eastAsia="en-US"/>
              </w:rPr>
              <w:t>2.3</w:t>
            </w:r>
          </w:p>
        </w:tc>
        <w:tc>
          <w:tcPr>
            <w:tcW w:w="3011"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评估支持</w:t>
            </w:r>
            <w:r>
              <w:rPr>
                <w:rFonts w:eastAsia="宋体" w:cs="Verdana"/>
                <w:color w:val="auto"/>
                <w:sz w:val="20"/>
                <w:szCs w:val="20"/>
                <w:lang w:eastAsia="zh-CN"/>
              </w:rPr>
              <w:t>GBON</w:t>
            </w:r>
            <w:r>
              <w:rPr>
                <w:rFonts w:hint="eastAsia" w:ascii="宋体" w:hAnsi="宋体" w:eastAsia="宋体" w:cs="宋体"/>
                <w:color w:val="auto"/>
                <w:sz w:val="20"/>
                <w:szCs w:val="20"/>
                <w:lang w:eastAsia="zh-CN"/>
              </w:rPr>
              <w:t>业务的潜在次区域贡献方</w:t>
            </w:r>
          </w:p>
        </w:tc>
        <w:tc>
          <w:tcPr>
            <w:tcW w:w="3833"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numPr>
                <w:ilvl w:val="0"/>
                <w:numId w:val="18"/>
              </w:num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确定可以开展潜在次区域合作的邻国和区域组织</w:t>
            </w:r>
          </w:p>
          <w:p>
            <w:pPr>
              <w:numPr>
                <w:ilvl w:val="0"/>
                <w:numId w:val="18"/>
              </w:num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 xml:space="preserve">通过次区域网络设计和实施计划的其他优化安排，规划对观测网进行潜在优化 </w:t>
            </w:r>
          </w:p>
        </w:tc>
        <w:tc>
          <w:tcPr>
            <w:tcW w:w="2384"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rPr>
                <w:rFonts w:eastAsia="Segoe UI" w:cs="Segoe UI"/>
                <w:color w:val="auto"/>
                <w:sz w:val="20"/>
                <w:szCs w:val="20"/>
                <w:lang w:eastAsia="zh-CN"/>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627"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jc w:val="center"/>
              <w:rPr>
                <w:rFonts w:eastAsia="Segoe UI" w:cs="Segoe UI"/>
                <w:color w:val="auto"/>
                <w:sz w:val="20"/>
                <w:szCs w:val="20"/>
                <w:lang w:eastAsia="en-US"/>
              </w:rPr>
            </w:pPr>
            <w:r>
              <w:rPr>
                <w:rFonts w:eastAsia="Segoe UI" w:cs="Segoe UI"/>
                <w:color w:val="auto"/>
                <w:sz w:val="20"/>
                <w:szCs w:val="20"/>
                <w:lang w:eastAsia="en-US"/>
              </w:rPr>
              <w:t>2.4</w:t>
            </w:r>
          </w:p>
        </w:tc>
        <w:tc>
          <w:tcPr>
            <w:tcW w:w="3011"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rPr>
                <w:rFonts w:ascii="宋体" w:hAnsi="宋体" w:eastAsia="宋体" w:cs="宋体"/>
                <w:color w:val="auto"/>
                <w:sz w:val="20"/>
                <w:szCs w:val="20"/>
                <w:lang w:eastAsia="en-US"/>
              </w:rPr>
            </w:pPr>
            <w:r>
              <w:rPr>
                <w:rFonts w:hint="eastAsia" w:ascii="宋体" w:hAnsi="宋体" w:eastAsia="宋体" w:cs="宋体"/>
                <w:color w:val="auto"/>
                <w:sz w:val="20"/>
                <w:szCs w:val="20"/>
                <w:lang w:eastAsia="en-US"/>
              </w:rPr>
              <w:t>评估会员的财务模式</w:t>
            </w:r>
          </w:p>
        </w:tc>
        <w:tc>
          <w:tcPr>
            <w:tcW w:w="3833"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numPr>
                <w:ilvl w:val="0"/>
                <w:numId w:val="19"/>
              </w:numPr>
              <w:spacing w:before="60" w:after="60"/>
              <w:ind w:hanging="357"/>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与国家观测基础设施运行有关的现有资金来源、预算分配和财务状况</w:t>
            </w:r>
          </w:p>
          <w:p>
            <w:pPr>
              <w:numPr>
                <w:ilvl w:val="0"/>
                <w:numId w:val="19"/>
              </w:numPr>
              <w:spacing w:before="60" w:after="60"/>
              <w:ind w:hanging="357"/>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制定可持续的财务管理计划，以按照拟议的公私营商模式运行</w:t>
            </w:r>
            <w:r>
              <w:rPr>
                <w:rFonts w:eastAsia="宋体" w:cs="Verdana"/>
                <w:color w:val="auto"/>
                <w:sz w:val="20"/>
                <w:szCs w:val="20"/>
                <w:lang w:eastAsia="zh-CN"/>
              </w:rPr>
              <w:t>GBON</w:t>
            </w:r>
            <w:r>
              <w:rPr>
                <w:rFonts w:hint="eastAsia" w:ascii="宋体" w:hAnsi="宋体" w:eastAsia="宋体" w:cs="宋体"/>
                <w:color w:val="auto"/>
                <w:sz w:val="20"/>
                <w:szCs w:val="20"/>
                <w:lang w:eastAsia="zh-CN"/>
              </w:rPr>
              <w:t>基础设施，具体形式如下：</w:t>
            </w:r>
          </w:p>
          <w:p>
            <w:pPr>
              <w:numPr>
                <w:ilvl w:val="0"/>
                <w:numId w:val="20"/>
              </w:numPr>
              <w:spacing w:before="60" w:after="60"/>
              <w:ind w:hanging="357"/>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运行现代化基础设施的财务计划</w:t>
            </w:r>
          </w:p>
          <w:p>
            <w:pPr>
              <w:numPr>
                <w:ilvl w:val="0"/>
                <w:numId w:val="20"/>
              </w:numPr>
              <w:spacing w:before="60" w:after="60"/>
              <w:ind w:hanging="357"/>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支持向</w:t>
            </w:r>
            <w:r>
              <w:rPr>
                <w:rFonts w:eastAsia="宋体" w:cs="Verdana"/>
                <w:color w:val="auto"/>
                <w:sz w:val="20"/>
                <w:szCs w:val="20"/>
                <w:lang w:eastAsia="zh-CN"/>
              </w:rPr>
              <w:t>GBON</w:t>
            </w:r>
            <w:r>
              <w:rPr>
                <w:rFonts w:hint="eastAsia" w:eastAsia="宋体" w:cs="Verdana"/>
                <w:color w:val="auto"/>
                <w:sz w:val="20"/>
                <w:szCs w:val="20"/>
                <w:lang w:eastAsia="zh-CN"/>
              </w:rPr>
              <w:t>业务提供更多资金</w:t>
            </w:r>
            <w:r>
              <w:rPr>
                <w:rFonts w:hint="eastAsia" w:ascii="宋体" w:hAnsi="宋体" w:eastAsia="宋体" w:cs="宋体"/>
                <w:color w:val="auto"/>
                <w:sz w:val="20"/>
                <w:szCs w:val="20"/>
                <w:lang w:eastAsia="zh-CN"/>
              </w:rPr>
              <w:t>的</w:t>
            </w:r>
            <w:r>
              <w:rPr>
                <w:rFonts w:eastAsia="宋体" w:cs="Verdana"/>
                <w:color w:val="auto"/>
                <w:sz w:val="20"/>
                <w:szCs w:val="20"/>
                <w:lang w:eastAsia="zh-CN"/>
              </w:rPr>
              <w:t>5</w:t>
            </w:r>
            <w:r>
              <w:rPr>
                <w:rFonts w:hint="eastAsia" w:ascii="宋体" w:hAnsi="宋体" w:eastAsia="宋体" w:cs="宋体"/>
                <w:color w:val="auto"/>
                <w:sz w:val="20"/>
                <w:szCs w:val="20"/>
                <w:lang w:eastAsia="zh-CN"/>
              </w:rPr>
              <w:t>至</w:t>
            </w:r>
            <w:r>
              <w:rPr>
                <w:rFonts w:eastAsia="宋体" w:cs="Verdana"/>
                <w:color w:val="auto"/>
                <w:sz w:val="20"/>
                <w:szCs w:val="20"/>
                <w:lang w:eastAsia="zh-CN"/>
              </w:rPr>
              <w:t>10</w:t>
            </w:r>
            <w:r>
              <w:rPr>
                <w:rFonts w:hint="eastAsia" w:ascii="宋体" w:hAnsi="宋体" w:eastAsia="宋体" w:cs="宋体"/>
                <w:color w:val="auto"/>
                <w:sz w:val="20"/>
                <w:szCs w:val="20"/>
                <w:lang w:eastAsia="zh-CN"/>
              </w:rPr>
              <w:t xml:space="preserve">年商业计划 </w:t>
            </w:r>
          </w:p>
        </w:tc>
        <w:tc>
          <w:tcPr>
            <w:tcW w:w="2384"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rPr>
                <w:rFonts w:eastAsia="Segoe UI" w:cs="Segoe UI"/>
                <w:color w:val="auto"/>
                <w:sz w:val="20"/>
                <w:szCs w:val="20"/>
                <w:lang w:eastAsia="zh-CN"/>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627"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keepNext/>
              <w:keepLines/>
              <w:spacing w:before="60" w:after="60"/>
              <w:jc w:val="center"/>
              <w:rPr>
                <w:rFonts w:eastAsia="Segoe UI" w:cs="Segoe UI"/>
                <w:color w:val="auto"/>
                <w:sz w:val="20"/>
                <w:szCs w:val="20"/>
                <w:lang w:eastAsia="en-US"/>
              </w:rPr>
            </w:pPr>
            <w:r>
              <w:rPr>
                <w:rFonts w:eastAsia="Segoe UI" w:cs="Segoe UI"/>
                <w:color w:val="auto"/>
                <w:sz w:val="20"/>
                <w:szCs w:val="20"/>
                <w:lang w:eastAsia="en-US"/>
              </w:rPr>
              <w:t>2.5</w:t>
            </w:r>
          </w:p>
        </w:tc>
        <w:tc>
          <w:tcPr>
            <w:tcW w:w="3011"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keepNext/>
              <w:keepLines/>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评估发展和改进观测网的现有国家战略和项目</w:t>
            </w:r>
          </w:p>
        </w:tc>
        <w:tc>
          <w:tcPr>
            <w:tcW w:w="3833"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keepNext/>
              <w:keepLines/>
              <w:numPr>
                <w:ilvl w:val="0"/>
                <w:numId w:val="21"/>
              </w:numPr>
              <w:spacing w:before="60" w:after="60"/>
              <w:ind w:hanging="357"/>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审查发展和改进观测网的国家战略</w:t>
            </w:r>
          </w:p>
          <w:p>
            <w:pPr>
              <w:keepNext/>
              <w:keepLines/>
              <w:numPr>
                <w:ilvl w:val="0"/>
                <w:numId w:val="21"/>
              </w:numPr>
              <w:spacing w:before="60" w:after="60"/>
              <w:ind w:hanging="357"/>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根据计划协调会员观测服务总体战略中规定的活动</w:t>
            </w:r>
          </w:p>
          <w:p>
            <w:pPr>
              <w:keepNext/>
              <w:keepLines/>
              <w:numPr>
                <w:ilvl w:val="0"/>
                <w:numId w:val="21"/>
              </w:numPr>
              <w:spacing w:before="60" w:after="60"/>
              <w:ind w:hanging="357"/>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审查与</w:t>
            </w:r>
            <w:r>
              <w:rPr>
                <w:rFonts w:eastAsia="宋体" w:cs="Verdana"/>
                <w:color w:val="auto"/>
                <w:sz w:val="20"/>
                <w:szCs w:val="20"/>
                <w:lang w:eastAsia="zh-CN"/>
              </w:rPr>
              <w:t>GBON</w:t>
            </w:r>
            <w:r>
              <w:rPr>
                <w:rFonts w:hint="eastAsia" w:ascii="宋体" w:hAnsi="宋体" w:eastAsia="宋体" w:cs="宋体"/>
                <w:color w:val="auto"/>
                <w:sz w:val="20"/>
                <w:szCs w:val="20"/>
                <w:lang w:eastAsia="zh-CN"/>
              </w:rPr>
              <w:t>相关的现有或计划中的水文气象开发项目，并考虑采取措施避免重复</w:t>
            </w:r>
          </w:p>
        </w:tc>
        <w:tc>
          <w:tcPr>
            <w:tcW w:w="2384"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keepNext/>
              <w:keepLines/>
              <w:spacing w:before="60" w:after="60"/>
              <w:rPr>
                <w:rFonts w:eastAsia="Segoe UI" w:cs="Segoe UI"/>
                <w:color w:val="auto"/>
                <w:sz w:val="20"/>
                <w:szCs w:val="20"/>
                <w:lang w:eastAsia="zh-CN"/>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627"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jc w:val="center"/>
              <w:rPr>
                <w:rFonts w:eastAsia="Segoe UI" w:cs="Segoe UI"/>
                <w:color w:val="auto"/>
                <w:sz w:val="20"/>
                <w:szCs w:val="20"/>
                <w:lang w:eastAsia="en-US"/>
              </w:rPr>
            </w:pPr>
            <w:r>
              <w:rPr>
                <w:rFonts w:eastAsia="Segoe UI" w:cs="Segoe UI"/>
                <w:color w:val="auto"/>
                <w:sz w:val="20"/>
                <w:szCs w:val="20"/>
                <w:lang w:eastAsia="en-US"/>
              </w:rPr>
              <w:t>2.6</w:t>
            </w:r>
          </w:p>
        </w:tc>
        <w:tc>
          <w:tcPr>
            <w:tcW w:w="3011"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审查</w:t>
            </w:r>
            <w:r>
              <w:rPr>
                <w:rFonts w:eastAsia="宋体" w:cs="Verdana"/>
                <w:color w:val="auto"/>
                <w:sz w:val="20"/>
                <w:szCs w:val="20"/>
                <w:lang w:eastAsia="zh-CN"/>
              </w:rPr>
              <w:t>GBON</w:t>
            </w:r>
            <w:r>
              <w:rPr>
                <w:rFonts w:hint="eastAsia" w:ascii="宋体" w:hAnsi="宋体" w:eastAsia="宋体" w:cs="宋体"/>
                <w:color w:val="auto"/>
                <w:sz w:val="20"/>
                <w:szCs w:val="20"/>
                <w:lang w:eastAsia="zh-CN"/>
              </w:rPr>
              <w:t xml:space="preserve">规则方面的国家立法 </w:t>
            </w:r>
          </w:p>
        </w:tc>
        <w:tc>
          <w:tcPr>
            <w:tcW w:w="3833"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pStyle w:val="318"/>
              <w:numPr>
                <w:ilvl w:val="0"/>
                <w:numId w:val="22"/>
              </w:numPr>
              <w:spacing w:before="60" w:after="60" w:line="240" w:lineRule="auto"/>
              <w:rPr>
                <w:rFonts w:ascii="宋体" w:hAnsi="宋体" w:cs="宋体"/>
                <w:color w:val="auto"/>
                <w:sz w:val="20"/>
                <w:szCs w:val="20"/>
                <w:lang w:val="en-GB" w:eastAsia="zh-CN"/>
              </w:rPr>
            </w:pPr>
            <w:r>
              <w:rPr>
                <w:rFonts w:hint="eastAsia" w:ascii="宋体" w:hAnsi="宋体" w:cs="宋体"/>
                <w:color w:val="auto"/>
                <w:sz w:val="20"/>
                <w:szCs w:val="20"/>
                <w:lang w:val="en-GB" w:eastAsia="zh-CN"/>
              </w:rPr>
              <w:t>审查关于测量和提供与</w:t>
            </w:r>
            <w:r>
              <w:rPr>
                <w:rFonts w:ascii="Verdana" w:hAnsi="Verdana" w:cs="Verdana"/>
                <w:color w:val="auto"/>
                <w:sz w:val="20"/>
                <w:szCs w:val="20"/>
                <w:lang w:val="en-GB" w:eastAsia="zh-CN"/>
              </w:rPr>
              <w:t>GBON</w:t>
            </w:r>
            <w:r>
              <w:rPr>
                <w:rFonts w:hint="eastAsia" w:ascii="宋体" w:hAnsi="宋体" w:cs="宋体"/>
                <w:color w:val="auto"/>
                <w:sz w:val="20"/>
                <w:szCs w:val="20"/>
                <w:lang w:val="en-GB" w:eastAsia="zh-CN"/>
              </w:rPr>
              <w:t>有关的天气观测结果的国家责任的立法</w:t>
            </w:r>
          </w:p>
          <w:p>
            <w:pPr>
              <w:pStyle w:val="318"/>
              <w:numPr>
                <w:ilvl w:val="0"/>
                <w:numId w:val="22"/>
              </w:numPr>
              <w:spacing w:before="60" w:after="60" w:line="240" w:lineRule="auto"/>
              <w:rPr>
                <w:rFonts w:ascii="宋体" w:hAnsi="宋体" w:cs="宋体"/>
                <w:color w:val="auto"/>
                <w:sz w:val="20"/>
                <w:szCs w:val="20"/>
                <w:lang w:val="en-GB" w:eastAsia="zh-CN"/>
              </w:rPr>
            </w:pPr>
            <w:r>
              <w:rPr>
                <w:rFonts w:hint="eastAsia" w:ascii="宋体" w:hAnsi="宋体" w:cs="宋体"/>
                <w:color w:val="auto"/>
                <w:sz w:val="20"/>
                <w:szCs w:val="20"/>
                <w:lang w:val="en-GB" w:eastAsia="zh-CN"/>
              </w:rPr>
              <w:t>审查与采购、进口和海关程序有关的立法，促进计划的顺利实施</w:t>
            </w:r>
          </w:p>
          <w:p>
            <w:pPr>
              <w:pStyle w:val="318"/>
              <w:numPr>
                <w:ilvl w:val="0"/>
                <w:numId w:val="22"/>
              </w:numPr>
              <w:spacing w:before="60" w:after="60" w:line="240" w:lineRule="auto"/>
              <w:ind w:left="357" w:hanging="357"/>
              <w:rPr>
                <w:rFonts w:ascii="宋体" w:hAnsi="宋体" w:cs="宋体"/>
                <w:color w:val="auto"/>
                <w:sz w:val="20"/>
                <w:szCs w:val="20"/>
                <w:lang w:val="en-GB" w:eastAsia="zh-CN"/>
              </w:rPr>
            </w:pPr>
            <w:r>
              <w:rPr>
                <w:rFonts w:hint="eastAsia" w:ascii="宋体" w:hAnsi="宋体" w:cs="宋体"/>
                <w:color w:val="auto"/>
                <w:sz w:val="20"/>
                <w:szCs w:val="20"/>
                <w:lang w:val="en-GB" w:eastAsia="zh-CN"/>
              </w:rPr>
              <w:t>关于如何解决实施</w:t>
            </w:r>
            <w:r>
              <w:rPr>
                <w:rFonts w:ascii="Verdana" w:hAnsi="Verdana" w:cs="Verdana"/>
                <w:color w:val="auto"/>
                <w:sz w:val="20"/>
                <w:szCs w:val="20"/>
                <w:lang w:val="en-GB" w:eastAsia="zh-CN"/>
              </w:rPr>
              <w:t>GBON</w:t>
            </w:r>
            <w:r>
              <w:rPr>
                <w:rFonts w:hint="eastAsia" w:ascii="宋体" w:hAnsi="宋体" w:cs="宋体"/>
                <w:color w:val="auto"/>
                <w:sz w:val="20"/>
                <w:szCs w:val="20"/>
                <w:lang w:val="en-GB" w:eastAsia="zh-CN"/>
              </w:rPr>
              <w:t xml:space="preserve">所需的国家立法所施加的限制的建议 </w:t>
            </w:r>
          </w:p>
        </w:tc>
        <w:tc>
          <w:tcPr>
            <w:tcW w:w="2384"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shd w:val="clear" w:color="auto" w:fill="auto"/>
          </w:tcPr>
          <w:p>
            <w:pPr>
              <w:spacing w:before="60" w:after="60"/>
              <w:rPr>
                <w:rFonts w:eastAsia="Segoe UI" w:cs="Segoe UI"/>
                <w:color w:val="auto"/>
                <w:sz w:val="20"/>
                <w:szCs w:val="20"/>
                <w:lang w:eastAsia="zh-CN"/>
              </w:rPr>
            </w:pPr>
          </w:p>
        </w:tc>
      </w:tr>
    </w:tbl>
    <w:p>
      <w:pPr>
        <w:spacing w:before="360" w:after="240"/>
        <w:rPr>
          <w:rFonts w:eastAsia="Segoe UI" w:cs="Segoe UI"/>
          <w:b/>
          <w:bCs/>
          <w:color w:val="auto"/>
          <w:lang w:eastAsia="zh-CN"/>
        </w:rPr>
      </w:pPr>
      <w:r>
        <w:rPr>
          <w:rFonts w:hint="eastAsia" w:ascii="微软雅黑" w:hAnsi="微软雅黑" w:eastAsia="微软雅黑" w:cs="微软雅黑"/>
          <w:b/>
          <w:bCs/>
          <w:color w:val="auto"/>
          <w:lang w:eastAsia="zh-CN"/>
        </w:rPr>
        <w:t>模块</w:t>
      </w:r>
      <w:r>
        <w:rPr>
          <w:rFonts w:hint="eastAsia" w:eastAsia="宋体" w:cs="Segoe UI"/>
          <w:b/>
          <w:bCs/>
          <w:color w:val="auto"/>
          <w:lang w:val="en-US" w:eastAsia="zh-CN"/>
        </w:rPr>
        <w:t>3.</w:t>
      </w:r>
      <w:r>
        <w:rPr>
          <w:rFonts w:hint="eastAsia" w:ascii="微软雅黑" w:hAnsi="微软雅黑" w:eastAsia="微软雅黑" w:cs="微软雅黑"/>
          <w:b/>
          <w:bCs/>
          <w:color w:val="auto"/>
          <w:lang w:eastAsia="zh-CN"/>
        </w:rPr>
        <w:t xml:space="preserve"> 基础设施发展</w:t>
      </w:r>
    </w:p>
    <w:p>
      <w:pPr>
        <w:spacing w:after="240" w:line="240" w:lineRule="exact"/>
        <w:rPr>
          <w:rFonts w:ascii="宋体" w:hAnsi="宋体" w:eastAsia="宋体" w:cs="宋体"/>
          <w:color w:val="auto"/>
          <w:lang w:eastAsia="zh-CN"/>
        </w:rPr>
      </w:pPr>
      <w:r>
        <w:rPr>
          <w:rFonts w:hint="eastAsia" w:ascii="宋体" w:hAnsi="宋体" w:eastAsia="宋体" w:cs="宋体"/>
          <w:color w:val="auto"/>
          <w:lang w:eastAsia="zh-CN"/>
        </w:rPr>
        <w:t>根据国家</w:t>
      </w:r>
      <w:r>
        <w:rPr>
          <w:rFonts w:eastAsia="宋体" w:cs="Verdana"/>
          <w:color w:val="auto"/>
          <w:lang w:eastAsia="zh-CN"/>
        </w:rPr>
        <w:t>GBON</w:t>
      </w:r>
      <w:r>
        <w:rPr>
          <w:rFonts w:hint="eastAsia" w:ascii="宋体" w:hAnsi="宋体" w:eastAsia="宋体" w:cs="宋体"/>
          <w:color w:val="auto"/>
          <w:lang w:eastAsia="zh-CN"/>
        </w:rPr>
        <w:t>差距分析中确定的差距，会员应制定一份详细的计划，内容涵盖观测基础设施的所有组成部分以及实现国家</w:t>
      </w:r>
      <w:r>
        <w:rPr>
          <w:rFonts w:eastAsia="宋体" w:cs="Verdana"/>
          <w:color w:val="auto"/>
          <w:lang w:eastAsia="zh-CN"/>
        </w:rPr>
        <w:t>GBON</w:t>
      </w:r>
      <w:r>
        <w:rPr>
          <w:rFonts w:hint="eastAsia" w:ascii="宋体" w:hAnsi="宋体" w:eastAsia="宋体" w:cs="宋体"/>
          <w:color w:val="auto"/>
          <w:lang w:eastAsia="zh-CN"/>
        </w:rPr>
        <w:t>合规目标所需的投资。该计划应遵循发展和管理观测网的国家战略，以便使现代化基础设施的组成部分和业务实践与现有观测网相协调。</w:t>
      </w:r>
    </w:p>
    <w:p>
      <w:pPr>
        <w:spacing w:after="240" w:line="240" w:lineRule="exact"/>
        <w:rPr>
          <w:rFonts w:eastAsia="Segoe UI" w:cs="Segoe UI"/>
          <w:color w:val="auto"/>
          <w:lang w:eastAsia="zh-CN"/>
        </w:rPr>
      </w:pPr>
      <w:r>
        <w:fldChar w:fldCharType="begin"/>
      </w:r>
      <w:r>
        <w:instrText xml:space="preserve"> HYPERLINK "https://library.wmo.int/index.php?lvl=notice_display&amp;id=19620" \l ".Y-eVBMdBybg" </w:instrText>
      </w:r>
      <w:r>
        <w:fldChar w:fldCharType="separate"/>
      </w:r>
      <w:r>
        <w:rPr>
          <w:rStyle w:val="43"/>
          <w:rFonts w:hint="eastAsia" w:eastAsia="宋体"/>
          <w:lang w:eastAsia="zh-CN"/>
        </w:rPr>
        <w:t>《WMO全球综合观测系统手册》</w:t>
      </w:r>
      <w:r>
        <w:rPr>
          <w:rStyle w:val="43"/>
          <w:rFonts w:hint="eastAsia" w:eastAsia="宋体"/>
          <w:lang w:eastAsia="zh-CN"/>
        </w:rPr>
        <w:fldChar w:fldCharType="end"/>
      </w:r>
      <w:r>
        <w:rPr>
          <w:rFonts w:hint="eastAsia" w:eastAsia="宋体"/>
          <w:lang w:eastAsia="zh-CN"/>
        </w:rPr>
        <w:t>（</w:t>
      </w:r>
      <w:r>
        <w:rPr>
          <w:lang w:eastAsia="zh-CN"/>
        </w:rPr>
        <w:t>WMO</w:t>
      </w:r>
      <w:r>
        <w:rPr>
          <w:lang w:eastAsia="zh-CN"/>
        </w:rPr>
        <w:noBreakHyphen/>
      </w:r>
      <w:r>
        <w:rPr>
          <w:lang w:eastAsia="zh-CN"/>
        </w:rPr>
        <w:t>No. 1160</w:t>
      </w:r>
      <w:r>
        <w:rPr>
          <w:rFonts w:hint="eastAsia" w:eastAsia="宋体"/>
          <w:lang w:eastAsia="zh-CN"/>
        </w:rPr>
        <w:t>）、《</w:t>
      </w:r>
      <w:r>
        <w:rPr>
          <w:rFonts w:hint="eastAsia" w:eastAsia="宋体"/>
          <w:lang w:val="en-US" w:eastAsia="zh-CN"/>
        </w:rPr>
        <w:t>电码手册</w:t>
      </w:r>
      <w:r>
        <w:rPr>
          <w:rFonts w:hint="eastAsia" w:eastAsia="宋体"/>
          <w:lang w:eastAsia="zh-CN"/>
        </w:rPr>
        <w:t>》（</w:t>
      </w:r>
      <w:r>
        <w:rPr>
          <w:rFonts w:eastAsia="Segoe UI" w:cs="Segoe UI"/>
          <w:color w:val="auto"/>
          <w:lang w:eastAsia="zh-CN"/>
        </w:rPr>
        <w:t>WMO-No. 306</w:t>
      </w:r>
      <w:r>
        <w:rPr>
          <w:rFonts w:hint="eastAsia" w:eastAsia="宋体" w:cs="Segoe UI"/>
          <w:color w:val="auto"/>
          <w:lang w:eastAsia="zh-CN"/>
        </w:rPr>
        <w:t>）</w:t>
      </w:r>
      <w:r>
        <w:rPr>
          <w:rFonts w:hint="eastAsia" w:eastAsia="宋体" w:cs="Segoe UI"/>
          <w:color w:val="auto"/>
          <w:lang w:val="en-US" w:eastAsia="zh-CN"/>
        </w:rPr>
        <w:t>第</w:t>
      </w:r>
      <w:r>
        <w:fldChar w:fldCharType="begin"/>
      </w:r>
      <w:r>
        <w:rPr>
          <w:lang w:eastAsia="zh-CN"/>
        </w:rPr>
        <w:instrText xml:space="preserve"> HYPERLINK "https://library.wmo.int/index.php?lvl=notice_display&amp;id=13617" </w:instrText>
      </w:r>
      <w:r>
        <w:fldChar w:fldCharType="separate"/>
      </w:r>
      <w:r>
        <w:rPr>
          <w:rStyle w:val="204"/>
          <w:i w:val="0"/>
          <w:lang w:eastAsia="zh-CN"/>
        </w:rPr>
        <w:t>I.1</w:t>
      </w:r>
      <w:r>
        <w:rPr>
          <w:rStyle w:val="204"/>
          <w:i w:val="0"/>
        </w:rPr>
        <w:fldChar w:fldCharType="end"/>
      </w:r>
      <w:r>
        <w:rPr>
          <w:rStyle w:val="204"/>
          <w:rFonts w:hint="eastAsia" w:eastAsia="宋体"/>
          <w:i w:val="0"/>
          <w:lang w:eastAsia="zh-CN"/>
        </w:rPr>
        <w:t>、</w:t>
      </w:r>
      <w:r>
        <w:fldChar w:fldCharType="begin"/>
      </w:r>
      <w:r>
        <w:rPr>
          <w:lang w:eastAsia="zh-CN"/>
        </w:rPr>
        <w:instrText xml:space="preserve"> HYPERLINK "https://library.wmo.int/index.php?lvl=notice_display&amp;id=10684" </w:instrText>
      </w:r>
      <w:r>
        <w:fldChar w:fldCharType="separate"/>
      </w:r>
      <w:r>
        <w:rPr>
          <w:rStyle w:val="204"/>
          <w:i w:val="0"/>
          <w:lang w:eastAsia="zh-CN"/>
        </w:rPr>
        <w:t>I.2</w:t>
      </w:r>
      <w:r>
        <w:rPr>
          <w:rStyle w:val="204"/>
          <w:i w:val="0"/>
        </w:rPr>
        <w:fldChar w:fldCharType="end"/>
      </w:r>
      <w:r>
        <w:rPr>
          <w:rFonts w:hint="eastAsia" w:eastAsia="宋体"/>
          <w:lang w:val="en-US" w:eastAsia="zh-CN"/>
        </w:rPr>
        <w:t>和</w:t>
      </w:r>
      <w:r>
        <w:fldChar w:fldCharType="begin"/>
      </w:r>
      <w:r>
        <w:rPr>
          <w:lang w:eastAsia="zh-CN"/>
        </w:rPr>
        <w:instrText xml:space="preserve"> HYPERLINK "https://library.wmo.int/index.php?lvl=notice_display&amp;id=19508" </w:instrText>
      </w:r>
      <w:r>
        <w:fldChar w:fldCharType="separate"/>
      </w:r>
      <w:r>
        <w:rPr>
          <w:rStyle w:val="204"/>
          <w:i w:val="0"/>
          <w:lang w:eastAsia="zh-CN"/>
        </w:rPr>
        <w:t>I.3</w:t>
      </w:r>
      <w:r>
        <w:rPr>
          <w:rStyle w:val="204"/>
          <w:i w:val="0"/>
        </w:rPr>
        <w:fldChar w:fldCharType="end"/>
      </w:r>
      <w:r>
        <w:rPr>
          <w:rStyle w:val="204"/>
          <w:rFonts w:hint="eastAsia" w:eastAsia="宋体"/>
          <w:i w:val="0"/>
          <w:iCs/>
          <w:lang w:val="en-US" w:eastAsia="zh-CN"/>
        </w:rPr>
        <w:t>卷</w:t>
      </w:r>
      <w:r>
        <w:rPr>
          <w:rFonts w:hint="eastAsia" w:eastAsia="宋体"/>
          <w:lang w:eastAsia="zh-CN"/>
        </w:rPr>
        <w:t>、</w:t>
      </w:r>
      <w:r>
        <w:fldChar w:fldCharType="begin"/>
      </w:r>
      <w:r>
        <w:instrText xml:space="preserve"> HYPERLINK "https://library.wmo.int/index.php?lvl=notice_display&amp;id=9298" \l ".Y-eVrsdBybg" </w:instrText>
      </w:r>
      <w:r>
        <w:fldChar w:fldCharType="separate"/>
      </w:r>
      <w:r>
        <w:rPr>
          <w:rStyle w:val="43"/>
          <w:rFonts w:hint="eastAsia" w:eastAsia="宋体"/>
          <w:lang w:eastAsia="zh-CN"/>
        </w:rPr>
        <w:t>《WMO信息系统手册》</w:t>
      </w:r>
      <w:r>
        <w:rPr>
          <w:rStyle w:val="43"/>
          <w:rFonts w:hint="eastAsia" w:eastAsia="宋体"/>
          <w:lang w:eastAsia="zh-CN"/>
        </w:rPr>
        <w:fldChar w:fldCharType="end"/>
      </w:r>
      <w:r>
        <w:rPr>
          <w:rStyle w:val="204"/>
          <w:rFonts w:hint="eastAsia" w:eastAsia="宋体"/>
          <w:i w:val="0"/>
          <w:iCs/>
          <w:lang w:val="en-US" w:eastAsia="zh-CN"/>
        </w:rPr>
        <w:t>（</w:t>
      </w:r>
      <w:r>
        <w:rPr>
          <w:lang w:eastAsia="zh-CN"/>
        </w:rPr>
        <w:t>WMO</w:t>
      </w:r>
      <w:r>
        <w:rPr>
          <w:lang w:eastAsia="zh-CN"/>
        </w:rPr>
        <w:noBreakHyphen/>
      </w:r>
      <w:r>
        <w:rPr>
          <w:lang w:eastAsia="zh-CN"/>
        </w:rPr>
        <w:t>No. 1060</w:t>
      </w:r>
      <w:r>
        <w:rPr>
          <w:rFonts w:hint="eastAsia" w:eastAsia="宋体"/>
          <w:lang w:eastAsia="zh-CN"/>
        </w:rPr>
        <w:t>）</w:t>
      </w:r>
      <w:r>
        <w:rPr>
          <w:rFonts w:hint="eastAsia" w:eastAsia="宋体"/>
          <w:lang w:val="en-US" w:eastAsia="zh-CN"/>
        </w:rPr>
        <w:t>和</w:t>
      </w:r>
      <w:r>
        <w:rPr>
          <w:rFonts w:hint="eastAsia" w:eastAsia="宋体"/>
          <w:lang w:val="en-US" w:eastAsia="zh-CN"/>
        </w:rPr>
        <w:fldChar w:fldCharType="begin"/>
      </w:r>
      <w:r>
        <w:rPr>
          <w:rFonts w:hint="eastAsia" w:eastAsia="宋体"/>
          <w:lang w:val="en-US" w:eastAsia="zh-CN"/>
        </w:rPr>
        <w:instrText xml:space="preserve"> HYPERLINK "https://library.wmo.int/index.php?lvl=notice_display&amp;id=21811" \l ".Y-eWN8dBybg" </w:instrText>
      </w:r>
      <w:r>
        <w:rPr>
          <w:rFonts w:hint="eastAsia" w:eastAsia="宋体"/>
          <w:lang w:val="en-US" w:eastAsia="zh-CN"/>
        </w:rPr>
        <w:fldChar w:fldCharType="separate"/>
      </w:r>
      <w:r>
        <w:rPr>
          <w:rStyle w:val="43"/>
          <w:rFonts w:hint="eastAsia" w:eastAsia="宋体"/>
          <w:lang w:val="en-US" w:eastAsia="zh-CN"/>
        </w:rPr>
        <w:t>《全球电信系统手册》</w:t>
      </w:r>
      <w:r>
        <w:rPr>
          <w:rFonts w:hint="eastAsia" w:eastAsia="宋体"/>
          <w:lang w:val="en-US" w:eastAsia="zh-CN"/>
        </w:rPr>
        <w:fldChar w:fldCharType="end"/>
      </w:r>
      <w:r>
        <w:rPr>
          <w:rFonts w:hint="eastAsia" w:eastAsia="宋体"/>
          <w:lang w:val="en-US" w:eastAsia="zh-CN"/>
        </w:rPr>
        <w:t>（</w:t>
      </w:r>
      <w:r>
        <w:rPr>
          <w:lang w:eastAsia="zh-CN"/>
        </w:rPr>
        <w:t>WMO</w:t>
      </w:r>
      <w:r>
        <w:rPr>
          <w:lang w:eastAsia="zh-CN"/>
        </w:rPr>
        <w:noBreakHyphen/>
      </w:r>
      <w:r>
        <w:rPr>
          <w:lang w:eastAsia="zh-CN"/>
        </w:rPr>
        <w:t>No. 386</w:t>
      </w:r>
      <w:r>
        <w:rPr>
          <w:rFonts w:hint="eastAsia" w:eastAsia="宋体"/>
          <w:lang w:eastAsia="zh-CN"/>
        </w:rPr>
        <w:t>）是建立观测网、通过WIS和WMO OSCAR/地表元数据管理系统报告和向国际提供观测数据和元数据所需遵循的主要的WMO技术规则。</w:t>
      </w:r>
    </w:p>
    <w:p>
      <w:pPr>
        <w:pStyle w:val="2"/>
        <w:rPr>
          <w:lang w:eastAsia="zh-CN"/>
        </w:rPr>
      </w:pPr>
      <w:r>
        <w:rPr>
          <w:rFonts w:hint="eastAsia" w:ascii="宋体" w:hAnsi="宋体" w:eastAsia="宋体" w:cs="宋体"/>
          <w:color w:val="auto"/>
          <w:lang w:eastAsia="zh-CN"/>
        </w:rPr>
        <w:t>模块</w:t>
      </w:r>
      <w:r>
        <w:rPr>
          <w:rFonts w:hint="eastAsia" w:eastAsia="Segoe UI" w:cs="Segoe UI"/>
          <w:color w:val="auto"/>
          <w:lang w:eastAsia="zh-CN"/>
        </w:rPr>
        <w:t>3</w:t>
      </w:r>
      <w:r>
        <w:rPr>
          <w:rFonts w:hint="eastAsia" w:ascii="宋体" w:hAnsi="宋体" w:eastAsia="宋体" w:cs="宋体"/>
          <w:color w:val="auto"/>
          <w:lang w:eastAsia="zh-CN"/>
        </w:rPr>
        <w:t>的活动和输出见表</w:t>
      </w:r>
      <w:r>
        <w:rPr>
          <w:rFonts w:hint="eastAsia" w:eastAsia="Segoe UI" w:cs="Segoe UI"/>
          <w:color w:val="auto"/>
          <w:lang w:eastAsia="zh-CN"/>
        </w:rPr>
        <w:t>5.9</w:t>
      </w:r>
      <w:r>
        <w:rPr>
          <w:rFonts w:hint="eastAsia" w:ascii="宋体" w:hAnsi="宋体" w:eastAsia="宋体" w:cs="宋体"/>
          <w:color w:val="auto"/>
          <w:lang w:eastAsia="zh-CN"/>
        </w:rPr>
        <w:t>。</w:t>
      </w:r>
      <w:r>
        <w:rPr>
          <w:lang w:eastAsia="zh-CN"/>
        </w:rPr>
        <w:br w:type="page"/>
      </w:r>
    </w:p>
    <w:p>
      <w:pPr>
        <w:spacing w:after="240" w:line="240" w:lineRule="exact"/>
        <w:jc w:val="center"/>
        <w:rPr>
          <w:b/>
          <w:bCs/>
          <w:lang w:eastAsia="zh-CN"/>
        </w:rPr>
      </w:pPr>
      <w:bookmarkStart w:id="38" w:name="OLE_LINK7"/>
      <w:r>
        <w:rPr>
          <w:rFonts w:hint="eastAsia" w:ascii="微软雅黑" w:hAnsi="微软雅黑" w:eastAsia="微软雅黑" w:cs="微软雅黑"/>
          <w:b/>
          <w:bCs/>
          <w:lang w:val="en-US" w:eastAsia="zh-CN"/>
        </w:rPr>
        <w:t>表</w:t>
      </w:r>
      <w:bookmarkEnd w:id="38"/>
      <w:r>
        <w:rPr>
          <w:b/>
          <w:bCs/>
          <w:lang w:eastAsia="zh-CN"/>
        </w:rPr>
        <w:t xml:space="preserve">5.9. </w:t>
      </w:r>
      <w:r>
        <w:rPr>
          <w:rFonts w:hint="eastAsia" w:ascii="微软雅黑" w:hAnsi="微软雅黑" w:eastAsia="微软雅黑" w:cs="微软雅黑"/>
          <w:b/>
          <w:bCs/>
          <w:lang w:eastAsia="zh-CN"/>
        </w:rPr>
        <w:t>模块</w:t>
      </w:r>
      <w:r>
        <w:rPr>
          <w:rFonts w:hint="eastAsia" w:eastAsia="宋体"/>
          <w:b/>
          <w:bCs/>
          <w:lang w:val="en-US" w:eastAsia="zh-CN"/>
        </w:rPr>
        <w:t>3</w:t>
      </w:r>
      <w:r>
        <w:rPr>
          <w:rFonts w:hint="eastAsia" w:ascii="微软雅黑" w:hAnsi="微软雅黑" w:eastAsia="微软雅黑" w:cs="微软雅黑"/>
          <w:b/>
          <w:bCs/>
          <w:lang w:eastAsia="zh-CN"/>
        </w:rPr>
        <w:t>要求开展的活动和交付的产出</w:t>
      </w:r>
    </w:p>
    <w:tbl>
      <w:tblPr>
        <w:tblStyle w:val="368"/>
        <w:tblW w:w="5000" w:type="pct"/>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779"/>
        <w:gridCol w:w="1908"/>
        <w:gridCol w:w="3416"/>
        <w:gridCol w:w="375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480" w:hRule="atLeast"/>
          <w:tblHeader/>
        </w:trPr>
        <w:tc>
          <w:tcPr>
            <w:tcW w:w="779" w:type="dxa"/>
            <w:vMerge w:val="restart"/>
            <w:shd w:val="clear" w:color="auto" w:fill="F1F1F1" w:themeFill="background1" w:themeFillShade="F2"/>
            <w:vAlign w:val="center"/>
          </w:tcPr>
          <w:p>
            <w:pPr>
              <w:keepNext/>
              <w:keepLine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eastAsia="en-US"/>
              </w:rPr>
              <w:t>项目</w:t>
            </w:r>
          </w:p>
        </w:tc>
        <w:tc>
          <w:tcPr>
            <w:tcW w:w="1908" w:type="dxa"/>
            <w:vMerge w:val="restart"/>
            <w:shd w:val="clear" w:color="auto" w:fill="F1F1F1" w:themeFill="background1" w:themeFillShade="F2"/>
            <w:vAlign w:val="center"/>
          </w:tcPr>
          <w:p>
            <w:pPr>
              <w:keepNext/>
              <w:keepLine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val="en-US" w:eastAsia="zh-CN"/>
              </w:rPr>
              <w:t>活动</w:t>
            </w:r>
          </w:p>
        </w:tc>
        <w:tc>
          <w:tcPr>
            <w:tcW w:w="3416" w:type="dxa"/>
            <w:vMerge w:val="restart"/>
            <w:shd w:val="clear" w:color="auto" w:fill="F1F1F1" w:themeFill="background1" w:themeFillShade="F2"/>
            <w:vAlign w:val="center"/>
          </w:tcPr>
          <w:p>
            <w:pPr>
              <w:keepNext/>
              <w:keepLine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val="en-US" w:eastAsia="zh-CN"/>
              </w:rPr>
              <w:t>产出</w:t>
            </w:r>
          </w:p>
        </w:tc>
        <w:tc>
          <w:tcPr>
            <w:tcW w:w="3752" w:type="dxa"/>
            <w:vMerge w:val="restart"/>
            <w:shd w:val="clear" w:color="auto" w:fill="F1F1F1" w:themeFill="background1" w:themeFillShade="F2"/>
            <w:vAlign w:val="center"/>
          </w:tcPr>
          <w:p>
            <w:pPr>
              <w:keepNext/>
              <w:keepLines/>
              <w:tabs>
                <w:tab w:val="right" w:pos="2052"/>
              </w:tab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val="en-US" w:eastAsia="zh-CN"/>
              </w:rPr>
              <w:t>相关指导材料</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03" w:hRule="atLeast"/>
          <w:tblHeader/>
        </w:trPr>
        <w:tc>
          <w:tcPr>
            <w:tcW w:w="779" w:type="dxa"/>
            <w:vMerge w:val="continue"/>
            <w:shd w:val="clear" w:color="auto" w:fill="F1F1F1" w:themeFill="background1" w:themeFillShade="F2"/>
          </w:tcPr>
          <w:p>
            <w:pPr>
              <w:spacing w:after="60"/>
              <w:rPr>
                <w:rFonts w:eastAsia="Calibri" w:cs="Calibri"/>
                <w:color w:val="auto"/>
                <w:sz w:val="20"/>
                <w:szCs w:val="20"/>
                <w:lang w:eastAsia="en-US"/>
              </w:rPr>
            </w:pPr>
          </w:p>
        </w:tc>
        <w:tc>
          <w:tcPr>
            <w:tcW w:w="1908" w:type="dxa"/>
            <w:vMerge w:val="continue"/>
            <w:shd w:val="clear" w:color="auto" w:fill="F1F1F1" w:themeFill="background1" w:themeFillShade="F2"/>
          </w:tcPr>
          <w:p>
            <w:pPr>
              <w:spacing w:after="60"/>
              <w:rPr>
                <w:rFonts w:eastAsia="Calibri" w:cs="Calibri"/>
                <w:color w:val="auto"/>
                <w:sz w:val="20"/>
                <w:szCs w:val="20"/>
                <w:lang w:eastAsia="en-US"/>
              </w:rPr>
            </w:pPr>
          </w:p>
        </w:tc>
        <w:tc>
          <w:tcPr>
            <w:tcW w:w="3416" w:type="dxa"/>
            <w:vMerge w:val="continue"/>
            <w:shd w:val="clear" w:color="auto" w:fill="F1F1F1" w:themeFill="background1" w:themeFillShade="F2"/>
          </w:tcPr>
          <w:p>
            <w:pPr>
              <w:spacing w:after="60"/>
              <w:rPr>
                <w:rFonts w:eastAsia="Calibri" w:cs="Calibri"/>
                <w:color w:val="auto"/>
                <w:sz w:val="20"/>
                <w:szCs w:val="20"/>
                <w:lang w:eastAsia="en-US"/>
              </w:rPr>
            </w:pPr>
          </w:p>
        </w:tc>
        <w:tc>
          <w:tcPr>
            <w:tcW w:w="3752" w:type="dxa"/>
            <w:vMerge w:val="continue"/>
            <w:shd w:val="clear" w:color="auto" w:fill="F1F1F1" w:themeFill="background1" w:themeFillShade="F2"/>
          </w:tcPr>
          <w:p>
            <w:pPr>
              <w:spacing w:before="120" w:after="120"/>
              <w:rPr>
                <w:rFonts w:eastAsia="Calibri" w:cs="Calibri"/>
                <w:color w:val="auto"/>
                <w:sz w:val="20"/>
                <w:szCs w:val="20"/>
                <w:lang w:eastAsia="en-US"/>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779" w:type="dxa"/>
            <w:tcBorders>
              <w:top w:val="single" w:color="808080" w:sz="4" w:space="0"/>
              <w:left w:val="single" w:color="808080" w:sz="4" w:space="0"/>
              <w:bottom w:val="single" w:color="808080" w:sz="4" w:space="0"/>
              <w:right w:val="single" w:color="808080" w:sz="4" w:space="0"/>
            </w:tcBorders>
            <w:shd w:val="clear" w:color="auto" w:fill="auto"/>
          </w:tcPr>
          <w:p>
            <w:pPr>
              <w:spacing w:after="60"/>
              <w:rPr>
                <w:rFonts w:eastAsia="Segoe UI" w:cs="Segoe UI"/>
                <w:color w:val="auto"/>
                <w:sz w:val="20"/>
                <w:szCs w:val="20"/>
                <w:lang w:eastAsia="en-US"/>
              </w:rPr>
            </w:pPr>
            <w:r>
              <w:rPr>
                <w:rFonts w:eastAsia="Segoe UI" w:cs="Segoe UI"/>
                <w:color w:val="auto"/>
                <w:sz w:val="20"/>
                <w:szCs w:val="20"/>
                <w:lang w:eastAsia="en-US"/>
              </w:rPr>
              <w:t>3.1</w:t>
            </w:r>
          </w:p>
        </w:tc>
        <w:tc>
          <w:tcPr>
            <w:tcW w:w="1908" w:type="dxa"/>
            <w:tcBorders>
              <w:top w:val="single" w:color="808080" w:sz="4" w:space="0"/>
              <w:left w:val="single" w:color="808080" w:sz="4" w:space="0"/>
              <w:bottom w:val="single" w:color="808080" w:sz="4" w:space="0"/>
              <w:right w:val="single" w:color="808080" w:sz="4" w:space="0"/>
            </w:tcBorders>
            <w:shd w:val="clear" w:color="auto" w:fill="auto"/>
          </w:tcPr>
          <w:p>
            <w:pPr>
              <w:spacing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设计地面、高空和海洋观测网和观测做法，包括由第三方运行的网络</w:t>
            </w:r>
          </w:p>
        </w:tc>
        <w:tc>
          <w:tcPr>
            <w:tcW w:w="3416" w:type="dxa"/>
            <w:tcBorders>
              <w:top w:val="single" w:color="808080" w:sz="4" w:space="0"/>
              <w:left w:val="single" w:color="808080" w:sz="4" w:space="0"/>
              <w:bottom w:val="single" w:color="808080" w:sz="4" w:space="0"/>
              <w:right w:val="single" w:color="808080" w:sz="4" w:space="0"/>
            </w:tcBorders>
            <w:shd w:val="clear" w:color="auto" w:fill="auto"/>
          </w:tcPr>
          <w:p>
            <w:pPr>
              <w:numPr>
                <w:ilvl w:val="0"/>
                <w:numId w:val="23"/>
              </w:numPr>
              <w:spacing w:after="60"/>
              <w:ind w:left="357" w:hanging="357"/>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根据国家</w:t>
            </w:r>
            <w:r>
              <w:rPr>
                <w:rFonts w:eastAsia="宋体" w:cs="Verdana"/>
                <w:color w:val="auto"/>
                <w:sz w:val="20"/>
                <w:szCs w:val="20"/>
                <w:lang w:eastAsia="zh-CN"/>
              </w:rPr>
              <w:t>GBON</w:t>
            </w:r>
            <w:r>
              <w:rPr>
                <w:rFonts w:hint="eastAsia" w:ascii="宋体" w:hAnsi="宋体" w:eastAsia="宋体" w:cs="宋体"/>
                <w:color w:val="auto"/>
                <w:sz w:val="20"/>
                <w:szCs w:val="20"/>
                <w:lang w:eastAsia="zh-CN"/>
              </w:rPr>
              <w:t>差距分析和国家</w:t>
            </w:r>
            <w:r>
              <w:rPr>
                <w:rFonts w:eastAsia="宋体" w:cs="Verdana"/>
                <w:color w:val="auto"/>
                <w:sz w:val="20"/>
                <w:szCs w:val="20"/>
                <w:lang w:eastAsia="zh-CN"/>
              </w:rPr>
              <w:t>GBON</w:t>
            </w:r>
            <w:r>
              <w:rPr>
                <w:rFonts w:hint="eastAsia" w:ascii="宋体" w:hAnsi="宋体" w:eastAsia="宋体" w:cs="宋体"/>
                <w:color w:val="auto"/>
                <w:sz w:val="20"/>
                <w:szCs w:val="20"/>
                <w:lang w:eastAsia="zh-CN"/>
              </w:rPr>
              <w:t>目标，完成了统一的观测网设计，包括新台站和改进的台站的选址和仪器安装，具体包括：</w:t>
            </w:r>
          </w:p>
          <w:p>
            <w:pPr>
              <w:pStyle w:val="318"/>
              <w:numPr>
                <w:ilvl w:val="0"/>
                <w:numId w:val="24"/>
              </w:numPr>
              <w:spacing w:after="60" w:line="240" w:lineRule="auto"/>
              <w:rPr>
                <w:rFonts w:ascii="宋体" w:hAnsi="宋体" w:cs="宋体"/>
                <w:color w:val="auto"/>
                <w:sz w:val="20"/>
                <w:szCs w:val="20"/>
                <w:lang w:val="en-GB" w:eastAsia="zh-CN"/>
              </w:rPr>
            </w:pPr>
            <w:r>
              <w:rPr>
                <w:rFonts w:hint="eastAsia" w:ascii="宋体" w:hAnsi="宋体" w:cs="宋体"/>
                <w:color w:val="auto"/>
                <w:sz w:val="20"/>
                <w:szCs w:val="20"/>
                <w:lang w:val="en-GB" w:eastAsia="zh-CN"/>
              </w:rPr>
              <w:t>观测网设计图和新的/修复的</w:t>
            </w:r>
            <w:r>
              <w:rPr>
                <w:rFonts w:ascii="Verdana" w:hAnsi="Verdana" w:cs="Verdana"/>
                <w:color w:val="auto"/>
                <w:sz w:val="20"/>
                <w:szCs w:val="20"/>
                <w:lang w:val="en-GB" w:eastAsia="zh-CN"/>
              </w:rPr>
              <w:t>GBON</w:t>
            </w:r>
            <w:r>
              <w:rPr>
                <w:rFonts w:hint="eastAsia" w:ascii="宋体" w:hAnsi="宋体" w:cs="宋体"/>
                <w:color w:val="auto"/>
                <w:sz w:val="20"/>
                <w:szCs w:val="20"/>
                <w:lang w:val="en-GB" w:eastAsia="zh-CN"/>
              </w:rPr>
              <w:t>台站的列表；</w:t>
            </w:r>
          </w:p>
          <w:p>
            <w:pPr>
              <w:pStyle w:val="318"/>
              <w:numPr>
                <w:ilvl w:val="0"/>
                <w:numId w:val="24"/>
              </w:numPr>
              <w:spacing w:after="60" w:line="240" w:lineRule="auto"/>
              <w:rPr>
                <w:rFonts w:ascii="宋体" w:hAnsi="宋体" w:cs="宋体"/>
                <w:color w:val="auto"/>
                <w:sz w:val="20"/>
                <w:szCs w:val="20"/>
                <w:lang w:val="en-GB" w:eastAsia="zh-CN"/>
              </w:rPr>
            </w:pPr>
            <w:r>
              <w:rPr>
                <w:rFonts w:hint="eastAsia" w:ascii="宋体" w:hAnsi="宋体" w:cs="宋体"/>
                <w:color w:val="auto"/>
                <w:sz w:val="20"/>
                <w:szCs w:val="20"/>
                <w:lang w:val="en-GB" w:eastAsia="zh-CN"/>
              </w:rPr>
              <w:t>每个站点的观测仪器和系统列表；</w:t>
            </w:r>
            <w:r>
              <w:rPr>
                <w:rFonts w:hint="eastAsia" w:ascii="宋体" w:hAnsi="宋体" w:cs="宋体"/>
                <w:color w:val="auto"/>
                <w:sz w:val="20"/>
                <w:szCs w:val="20"/>
                <w:lang w:val="en-US" w:eastAsia="zh-CN"/>
              </w:rPr>
              <w:t>以及</w:t>
            </w:r>
          </w:p>
          <w:p>
            <w:pPr>
              <w:pStyle w:val="318"/>
              <w:numPr>
                <w:ilvl w:val="0"/>
                <w:numId w:val="24"/>
              </w:numPr>
              <w:spacing w:after="60" w:line="240" w:lineRule="auto"/>
              <w:ind w:left="714" w:hanging="357"/>
              <w:rPr>
                <w:rFonts w:ascii="宋体" w:hAnsi="宋体" w:cs="宋体"/>
                <w:color w:val="auto"/>
                <w:sz w:val="20"/>
                <w:szCs w:val="20"/>
                <w:lang w:val="en-GB" w:eastAsia="zh-CN"/>
              </w:rPr>
            </w:pPr>
            <w:r>
              <w:rPr>
                <w:rFonts w:hint="eastAsia" w:ascii="宋体" w:hAnsi="宋体" w:cs="宋体"/>
                <w:color w:val="auto"/>
                <w:sz w:val="20"/>
                <w:szCs w:val="20"/>
                <w:lang w:val="en-GB" w:eastAsia="zh-CN"/>
              </w:rPr>
              <w:t>安装新台站和改进现有台站所需的投资和活动</w:t>
            </w:r>
          </w:p>
          <w:p>
            <w:pPr>
              <w:pStyle w:val="318"/>
              <w:numPr>
                <w:ilvl w:val="0"/>
                <w:numId w:val="24"/>
              </w:numPr>
              <w:spacing w:after="60" w:line="240" w:lineRule="auto"/>
              <w:ind w:left="714" w:hanging="357"/>
              <w:rPr>
                <w:rFonts w:ascii="宋体" w:hAnsi="宋体" w:cs="宋体"/>
                <w:color w:val="auto"/>
                <w:sz w:val="20"/>
                <w:szCs w:val="20"/>
                <w:lang w:val="en-GB" w:eastAsia="zh-CN"/>
              </w:rPr>
            </w:pPr>
            <w:r>
              <w:rPr>
                <w:rFonts w:hint="eastAsia" w:ascii="宋体" w:hAnsi="宋体" w:cs="宋体"/>
                <w:color w:val="auto"/>
                <w:sz w:val="20"/>
                <w:szCs w:val="20"/>
                <w:lang w:val="en-GB" w:eastAsia="zh-CN"/>
              </w:rPr>
              <w:t>在网络设计和实施中（新台站、仪器等）明确考虑环境可持续性</w:t>
            </w:r>
          </w:p>
          <w:p>
            <w:pPr>
              <w:numPr>
                <w:ilvl w:val="0"/>
                <w:numId w:val="23"/>
              </w:numPr>
              <w:spacing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每个观测网定义的观测做法</w:t>
            </w:r>
          </w:p>
          <w:p>
            <w:pPr>
              <w:numPr>
                <w:ilvl w:val="0"/>
                <w:numId w:val="23"/>
              </w:numPr>
              <w:spacing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现有台站和改进台站/新台站的初步维护计划，包括校准做法</w:t>
            </w:r>
          </w:p>
          <w:p>
            <w:pPr>
              <w:numPr>
                <w:ilvl w:val="0"/>
                <w:numId w:val="23"/>
              </w:numPr>
              <w:spacing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采购过程中新仪器和观测系统的技术规格，包括可持续性考虑</w:t>
            </w:r>
          </w:p>
        </w:tc>
        <w:tc>
          <w:tcPr>
            <w:tcW w:w="3752" w:type="dxa"/>
            <w:tcBorders>
              <w:top w:val="single" w:color="808080" w:sz="4" w:space="0"/>
              <w:left w:val="single" w:color="808080" w:sz="4" w:space="0"/>
              <w:bottom w:val="single" w:color="808080" w:sz="4" w:space="0"/>
              <w:right w:val="single" w:color="808080" w:sz="4" w:space="0"/>
            </w:tcBorders>
            <w:shd w:val="clear" w:color="auto" w:fill="auto"/>
          </w:tcPr>
          <w:p>
            <w:pPr>
              <w:spacing w:before="60" w:after="60"/>
              <w:rPr>
                <w:rFonts w:ascii="宋体" w:hAnsi="宋体" w:eastAsia="宋体" w:cs="宋体"/>
                <w:sz w:val="20"/>
                <w:szCs w:val="20"/>
                <w:lang w:eastAsia="zh-CN"/>
              </w:rPr>
            </w:pPr>
            <w:r>
              <w:rPr>
                <w:sz w:val="22"/>
                <w:szCs w:val="22"/>
              </w:rPr>
              <w:fldChar w:fldCharType="begin"/>
            </w:r>
            <w:r>
              <w:rPr>
                <w:sz w:val="22"/>
                <w:szCs w:val="22"/>
              </w:rPr>
              <w:instrText xml:space="preserve"> HYPERLINK "https://library.wmo.int/index.php?lvl=notice_display&amp;id=19620" \l ".Y-eVBMdBybg" </w:instrText>
            </w:r>
            <w:r>
              <w:rPr>
                <w:sz w:val="22"/>
                <w:szCs w:val="22"/>
              </w:rPr>
              <w:fldChar w:fldCharType="separate"/>
            </w:r>
            <w:r>
              <w:rPr>
                <w:rStyle w:val="43"/>
                <w:rFonts w:hint="eastAsia" w:ascii="宋体" w:hAnsi="宋体" w:eastAsia="宋体" w:cs="宋体"/>
                <w:sz w:val="20"/>
                <w:szCs w:val="20"/>
                <w:lang w:eastAsia="zh-CN"/>
              </w:rPr>
              <w:t>《</w:t>
            </w:r>
            <w:r>
              <w:rPr>
                <w:rStyle w:val="43"/>
                <w:rFonts w:eastAsia="宋体" w:cs="Verdana"/>
                <w:sz w:val="20"/>
                <w:szCs w:val="20"/>
                <w:lang w:eastAsia="zh-CN"/>
              </w:rPr>
              <w:t>WMO</w:t>
            </w:r>
            <w:r>
              <w:rPr>
                <w:rStyle w:val="43"/>
                <w:rFonts w:hint="eastAsia" w:ascii="宋体" w:hAnsi="宋体" w:eastAsia="宋体" w:cs="宋体"/>
                <w:sz w:val="20"/>
                <w:szCs w:val="20"/>
                <w:lang w:eastAsia="zh-CN"/>
              </w:rPr>
              <w:t>全球综合观测系统手册》</w:t>
            </w:r>
            <w:r>
              <w:rPr>
                <w:rStyle w:val="43"/>
                <w:rFonts w:hint="eastAsia" w:ascii="宋体" w:hAnsi="宋体" w:eastAsia="宋体" w:cs="宋体"/>
                <w:sz w:val="20"/>
                <w:szCs w:val="20"/>
                <w:lang w:eastAsia="zh-CN"/>
              </w:rPr>
              <w:fldChar w:fldCharType="end"/>
            </w:r>
            <w:r>
              <w:rPr>
                <w:rFonts w:hint="eastAsia" w:ascii="宋体" w:hAnsi="宋体" w:eastAsia="宋体" w:cs="宋体"/>
                <w:sz w:val="20"/>
                <w:szCs w:val="20"/>
                <w:lang w:eastAsia="zh-CN"/>
              </w:rPr>
              <w:t>（</w:t>
            </w:r>
            <w:r>
              <w:rPr>
                <w:rFonts w:eastAsia="宋体" w:cs="Verdana"/>
                <w:sz w:val="20"/>
                <w:szCs w:val="20"/>
                <w:lang w:eastAsia="zh-CN"/>
              </w:rPr>
              <w:t>WMO</w:t>
            </w:r>
            <w:r>
              <w:rPr>
                <w:rFonts w:eastAsia="宋体" w:cs="Verdana"/>
                <w:sz w:val="20"/>
                <w:szCs w:val="20"/>
                <w:lang w:eastAsia="zh-CN"/>
              </w:rPr>
              <w:noBreakHyphen/>
            </w:r>
            <w:r>
              <w:rPr>
                <w:rFonts w:eastAsia="宋体" w:cs="Verdana"/>
                <w:sz w:val="20"/>
                <w:szCs w:val="20"/>
                <w:lang w:eastAsia="zh-CN"/>
              </w:rPr>
              <w:t>No. 1160</w:t>
            </w:r>
            <w:r>
              <w:rPr>
                <w:rFonts w:hint="eastAsia" w:ascii="宋体" w:hAnsi="宋体" w:eastAsia="宋体" w:cs="宋体"/>
                <w:sz w:val="20"/>
                <w:szCs w:val="20"/>
                <w:lang w:eastAsia="zh-CN"/>
              </w:rPr>
              <w:t>）</w:t>
            </w:r>
          </w:p>
          <w:p>
            <w:pPr>
              <w:pStyle w:val="2"/>
              <w:spacing w:before="60" w:after="60"/>
              <w:rPr>
                <w:rFonts w:ascii="宋体" w:hAnsi="宋体" w:eastAsia="宋体" w:cs="宋体"/>
                <w:sz w:val="20"/>
                <w:szCs w:val="20"/>
                <w:lang w:eastAsia="zh-CN"/>
              </w:rPr>
            </w:pPr>
            <w:r>
              <w:rPr>
                <w:sz w:val="22"/>
              </w:rPr>
              <w:fldChar w:fldCharType="begin"/>
            </w:r>
            <w:r>
              <w:rPr>
                <w:sz w:val="22"/>
              </w:rPr>
              <w:instrText xml:space="preserve"> HYPERLINK "https://library.wmo.int/index.php?lvl=notice_display&amp;id=20135" \l ".Y-eQAsdBybg" </w:instrText>
            </w:r>
            <w:r>
              <w:rPr>
                <w:sz w:val="22"/>
              </w:rPr>
              <w:fldChar w:fldCharType="separate"/>
            </w:r>
            <w:r>
              <w:rPr>
                <w:rStyle w:val="43"/>
                <w:rFonts w:hint="eastAsia" w:ascii="宋体" w:hAnsi="宋体" w:eastAsia="宋体" w:cs="宋体"/>
                <w:sz w:val="20"/>
                <w:szCs w:val="20"/>
                <w:lang w:eastAsia="zh-CN"/>
              </w:rPr>
              <w:t>《</w:t>
            </w:r>
            <w:r>
              <w:rPr>
                <w:rStyle w:val="43"/>
                <w:rFonts w:eastAsia="宋体" w:cs="Verdana"/>
                <w:sz w:val="20"/>
                <w:szCs w:val="20"/>
                <w:lang w:eastAsia="zh-CN"/>
              </w:rPr>
              <w:t>WMO</w:t>
            </w:r>
            <w:r>
              <w:rPr>
                <w:rStyle w:val="43"/>
                <w:rFonts w:hint="eastAsia" w:ascii="宋体" w:hAnsi="宋体" w:eastAsia="宋体" w:cs="宋体"/>
                <w:sz w:val="20"/>
                <w:szCs w:val="20"/>
                <w:lang w:eastAsia="zh-CN"/>
              </w:rPr>
              <w:t>全球综合观测系统指南》</w:t>
            </w:r>
            <w:r>
              <w:rPr>
                <w:rStyle w:val="43"/>
                <w:rFonts w:hint="eastAsia" w:ascii="宋体" w:hAnsi="宋体" w:eastAsia="宋体" w:cs="宋体"/>
                <w:sz w:val="20"/>
                <w:szCs w:val="20"/>
                <w:lang w:eastAsia="zh-CN"/>
              </w:rPr>
              <w:fldChar w:fldCharType="end"/>
            </w:r>
            <w:r>
              <w:rPr>
                <w:rFonts w:hint="eastAsia" w:ascii="宋体" w:hAnsi="宋体" w:eastAsia="宋体" w:cs="宋体"/>
                <w:sz w:val="20"/>
                <w:szCs w:val="20"/>
                <w:lang w:eastAsia="zh-CN"/>
              </w:rPr>
              <w:t>（</w:t>
            </w:r>
            <w:r>
              <w:rPr>
                <w:rFonts w:eastAsia="宋体" w:cs="Verdana"/>
                <w:sz w:val="20"/>
                <w:szCs w:val="20"/>
                <w:lang w:eastAsia="zh-CN"/>
              </w:rPr>
              <w:t>WMO</w:t>
            </w:r>
            <w:r>
              <w:rPr>
                <w:rFonts w:eastAsia="宋体" w:cs="Verdana"/>
                <w:sz w:val="20"/>
                <w:szCs w:val="20"/>
                <w:lang w:eastAsia="zh-CN"/>
              </w:rPr>
              <w:noBreakHyphen/>
            </w:r>
            <w:r>
              <w:rPr>
                <w:rFonts w:eastAsia="宋体" w:cs="Verdana"/>
                <w:sz w:val="20"/>
                <w:szCs w:val="20"/>
                <w:lang w:eastAsia="zh-CN"/>
              </w:rPr>
              <w:t>No. 1165</w:t>
            </w:r>
            <w:r>
              <w:rPr>
                <w:rFonts w:hint="eastAsia" w:ascii="宋体" w:hAnsi="宋体" w:eastAsia="宋体" w:cs="宋体"/>
                <w:sz w:val="20"/>
                <w:szCs w:val="20"/>
                <w:lang w:eastAsia="zh-CN"/>
              </w:rPr>
              <w:t>）</w:t>
            </w:r>
          </w:p>
          <w:p>
            <w:pPr>
              <w:spacing w:before="60" w:after="60"/>
              <w:rPr>
                <w:rFonts w:ascii="宋体" w:hAnsi="宋体" w:eastAsia="宋体" w:cs="宋体"/>
                <w:color w:val="auto"/>
                <w:sz w:val="20"/>
                <w:szCs w:val="20"/>
                <w:lang w:eastAsia="zh-CN"/>
              </w:rPr>
            </w:pPr>
            <w:r>
              <w:rPr>
                <w:sz w:val="22"/>
                <w:szCs w:val="22"/>
              </w:rPr>
              <w:fldChar w:fldCharType="begin"/>
            </w:r>
            <w:r>
              <w:rPr>
                <w:sz w:val="22"/>
                <w:szCs w:val="22"/>
              </w:rPr>
              <w:instrText xml:space="preserve"> HYPERLINK "https://library.wmo.int/index.php?lvl=notice_display&amp;id=20651" \l ".Y-eX8MdBybg" </w:instrText>
            </w:r>
            <w:r>
              <w:rPr>
                <w:sz w:val="22"/>
                <w:szCs w:val="22"/>
              </w:rPr>
              <w:fldChar w:fldCharType="separate"/>
            </w:r>
            <w:r>
              <w:rPr>
                <w:rStyle w:val="40"/>
                <w:rFonts w:hint="eastAsia" w:ascii="宋体" w:hAnsi="宋体" w:eastAsia="宋体" w:cs="宋体"/>
                <w:sz w:val="20"/>
                <w:szCs w:val="20"/>
                <w:lang w:eastAsia="zh-CN"/>
              </w:rPr>
              <w:t>《气象仪器与观测方法指南》</w:t>
            </w:r>
            <w:r>
              <w:rPr>
                <w:rStyle w:val="40"/>
                <w:rFonts w:hint="eastAsia" w:ascii="宋体" w:hAnsi="宋体" w:eastAsia="宋体" w:cs="宋体"/>
                <w:sz w:val="20"/>
                <w:szCs w:val="20"/>
                <w:lang w:eastAsia="zh-CN"/>
              </w:rPr>
              <w:fldChar w:fldCharType="end"/>
            </w:r>
            <w:r>
              <w:rPr>
                <w:rFonts w:hint="eastAsia" w:ascii="宋体" w:hAnsi="宋体" w:eastAsia="宋体" w:cs="宋体"/>
                <w:sz w:val="20"/>
                <w:szCs w:val="20"/>
                <w:lang w:eastAsia="zh-CN"/>
              </w:rPr>
              <w:t>（</w:t>
            </w:r>
            <w:r>
              <w:rPr>
                <w:rFonts w:eastAsia="宋体" w:cs="Verdana"/>
                <w:sz w:val="20"/>
                <w:szCs w:val="20"/>
                <w:lang w:eastAsia="zh-CN"/>
              </w:rPr>
              <w:t>WMO</w:t>
            </w:r>
            <w:r>
              <w:rPr>
                <w:rFonts w:eastAsia="宋体" w:cs="Verdana"/>
                <w:sz w:val="20"/>
                <w:szCs w:val="20"/>
                <w:lang w:eastAsia="zh-CN"/>
              </w:rPr>
              <w:noBreakHyphen/>
            </w:r>
            <w:r>
              <w:rPr>
                <w:rFonts w:eastAsia="宋体" w:cs="Verdana"/>
                <w:sz w:val="20"/>
                <w:szCs w:val="20"/>
                <w:lang w:eastAsia="zh-CN"/>
              </w:rPr>
              <w:t>No. 8</w:t>
            </w:r>
            <w:r>
              <w:rPr>
                <w:rFonts w:hint="eastAsia" w:ascii="宋体" w:hAnsi="宋体" w:eastAsia="宋体" w:cs="宋体"/>
                <w:sz w:val="20"/>
                <w:szCs w:val="20"/>
                <w:lang w:eastAsia="zh-CN"/>
              </w:rPr>
              <w:t>）</w:t>
            </w:r>
          </w:p>
          <w:p>
            <w:pPr>
              <w:spacing w:before="60" w:after="60"/>
              <w:rPr>
                <w:rFonts w:ascii="宋体" w:hAnsi="宋体" w:eastAsia="宋体" w:cs="宋体"/>
                <w:color w:val="auto"/>
                <w:sz w:val="20"/>
                <w:szCs w:val="20"/>
                <w:lang w:eastAsia="zh-CN"/>
              </w:rPr>
            </w:pPr>
            <w:r>
              <w:rPr>
                <w:rFonts w:eastAsia="宋体" w:cs="Verdana"/>
                <w:color w:val="auto"/>
                <w:sz w:val="20"/>
                <w:szCs w:val="20"/>
                <w:lang w:eastAsia="zh-CN"/>
              </w:rPr>
              <w:t>WMO IOM</w:t>
            </w:r>
            <w:r>
              <w:rPr>
                <w:rFonts w:hint="eastAsia" w:ascii="宋体" w:hAnsi="宋体" w:eastAsia="宋体" w:cs="宋体"/>
                <w:color w:val="auto"/>
                <w:sz w:val="20"/>
                <w:szCs w:val="20"/>
                <w:lang w:eastAsia="zh-CN"/>
              </w:rPr>
              <w:t>第</w:t>
            </w:r>
            <w:r>
              <w:rPr>
                <w:rFonts w:eastAsia="宋体" w:cs="Verdana"/>
                <w:color w:val="auto"/>
                <w:sz w:val="20"/>
                <w:szCs w:val="20"/>
                <w:lang w:eastAsia="zh-CN"/>
              </w:rPr>
              <w:t>136</w:t>
            </w:r>
            <w:r>
              <w:rPr>
                <w:rFonts w:hint="eastAsia" w:ascii="宋体" w:hAnsi="宋体" w:eastAsia="宋体" w:cs="宋体"/>
                <w:color w:val="auto"/>
                <w:sz w:val="20"/>
                <w:szCs w:val="20"/>
                <w:lang w:eastAsia="zh-CN"/>
              </w:rPr>
              <w:t>号报告：</w:t>
            </w:r>
            <w:r>
              <w:rPr>
                <w:sz w:val="22"/>
                <w:szCs w:val="22"/>
              </w:rPr>
              <w:fldChar w:fldCharType="begin"/>
            </w:r>
            <w:r>
              <w:rPr>
                <w:sz w:val="22"/>
                <w:szCs w:val="22"/>
                <w:lang w:eastAsia="zh-CN"/>
              </w:rPr>
              <w:instrText xml:space="preserve">HYPERLINK "https://library.wmo.int/index.php?lvl=notice_display&amp;id=22031" \l ".Y-eYPsdBybg"</w:instrText>
            </w:r>
            <w:r>
              <w:rPr>
                <w:sz w:val="22"/>
                <w:szCs w:val="22"/>
              </w:rPr>
              <w:fldChar w:fldCharType="separate"/>
            </w:r>
            <w:r>
              <w:rPr>
                <w:rStyle w:val="43"/>
                <w:rFonts w:hint="eastAsia" w:ascii="宋体" w:hAnsi="宋体" w:eastAsia="宋体" w:cs="宋体"/>
                <w:sz w:val="20"/>
                <w:szCs w:val="20"/>
                <w:lang w:eastAsia="zh-CN"/>
              </w:rPr>
              <w:t>《通用自动气象站（</w:t>
            </w:r>
            <w:r>
              <w:rPr>
                <w:rStyle w:val="43"/>
                <w:rFonts w:eastAsia="宋体" w:cs="Verdana"/>
                <w:sz w:val="20"/>
                <w:szCs w:val="20"/>
                <w:lang w:eastAsia="zh-CN"/>
              </w:rPr>
              <w:t>AWS</w:t>
            </w:r>
            <w:r>
              <w:rPr>
                <w:rStyle w:val="43"/>
                <w:rFonts w:hint="eastAsia" w:ascii="宋体" w:hAnsi="宋体" w:eastAsia="宋体" w:cs="宋体"/>
                <w:sz w:val="20"/>
                <w:szCs w:val="20"/>
                <w:lang w:eastAsia="zh-CN"/>
              </w:rPr>
              <w:t>）投标规格》</w:t>
            </w:r>
            <w:r>
              <w:rPr>
                <w:rStyle w:val="43"/>
                <w:rFonts w:ascii="宋体" w:hAnsi="宋体" w:eastAsia="宋体" w:cs="宋体"/>
                <w:sz w:val="22"/>
                <w:szCs w:val="22"/>
                <w:lang w:eastAsia="zh-CN"/>
              </w:rPr>
              <w:fldChar w:fldCharType="end"/>
            </w:r>
          </w:p>
          <w:p>
            <w:pPr>
              <w:pStyle w:val="2"/>
              <w:spacing w:before="60" w:after="60" w:line="240" w:lineRule="auto"/>
              <w:rPr>
                <w:rFonts w:ascii="宋体" w:hAnsi="宋体" w:eastAsia="宋体" w:cs="宋体"/>
                <w:i/>
                <w:iCs/>
                <w:sz w:val="20"/>
                <w:szCs w:val="20"/>
                <w:lang w:eastAsia="zh-CN"/>
              </w:rPr>
            </w:pPr>
          </w:p>
          <w:p>
            <w:pPr>
              <w:spacing w:before="120" w:after="120"/>
              <w:rPr>
                <w:rFonts w:ascii="宋体" w:hAnsi="宋体" w:eastAsia="宋体" w:cs="宋体"/>
                <w:color w:val="auto"/>
                <w:sz w:val="20"/>
                <w:szCs w:val="20"/>
                <w:lang w:eastAsia="zh-CN"/>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779" w:type="dxa"/>
            <w:tcBorders>
              <w:top w:val="single" w:color="808080" w:sz="4" w:space="0"/>
              <w:left w:val="single" w:color="808080" w:sz="4" w:space="0"/>
              <w:bottom w:val="single" w:color="808080" w:sz="4" w:space="0"/>
              <w:right w:val="single" w:color="808080" w:sz="4" w:space="0"/>
            </w:tcBorders>
            <w:shd w:val="clear" w:color="auto" w:fill="auto"/>
          </w:tcPr>
          <w:p>
            <w:pPr>
              <w:keepNext/>
              <w:keepLines/>
              <w:spacing w:after="60"/>
              <w:rPr>
                <w:rFonts w:eastAsia="Segoe UI" w:cs="Segoe UI"/>
                <w:color w:val="auto"/>
                <w:sz w:val="20"/>
                <w:szCs w:val="20"/>
                <w:lang w:eastAsia="en-US"/>
              </w:rPr>
            </w:pPr>
            <w:r>
              <w:rPr>
                <w:rFonts w:eastAsia="Segoe UI" w:cs="Segoe UI"/>
                <w:color w:val="auto"/>
                <w:sz w:val="20"/>
                <w:szCs w:val="20"/>
                <w:lang w:eastAsia="en-US"/>
              </w:rPr>
              <w:t>3.2</w:t>
            </w:r>
          </w:p>
        </w:tc>
        <w:tc>
          <w:tcPr>
            <w:tcW w:w="1908" w:type="dxa"/>
            <w:tcBorders>
              <w:top w:val="single" w:color="808080" w:sz="4" w:space="0"/>
              <w:left w:val="single" w:color="808080" w:sz="4" w:space="0"/>
              <w:bottom w:val="single" w:color="808080" w:sz="4" w:space="0"/>
              <w:right w:val="single" w:color="808080" w:sz="4" w:space="0"/>
            </w:tcBorders>
            <w:shd w:val="clear" w:color="auto" w:fill="auto"/>
          </w:tcPr>
          <w:p>
            <w:pPr>
              <w:keepNext/>
              <w:keepLines/>
              <w:spacing w:after="60"/>
              <w:rPr>
                <w:rFonts w:ascii="宋体" w:hAnsi="宋体" w:eastAsia="宋体" w:cs="宋体"/>
                <w:color w:val="auto"/>
                <w:sz w:val="20"/>
                <w:szCs w:val="20"/>
                <w:lang w:eastAsia="zh-CN"/>
              </w:rPr>
            </w:pPr>
            <w:r>
              <w:rPr>
                <w:rFonts w:eastAsia="宋体" w:cs="Verdana"/>
                <w:color w:val="auto"/>
                <w:sz w:val="20"/>
                <w:szCs w:val="20"/>
                <w:lang w:eastAsia="zh-CN"/>
              </w:rPr>
              <w:t>ICT</w:t>
            </w:r>
            <w:r>
              <w:rPr>
                <w:rFonts w:hint="eastAsia" w:ascii="宋体" w:hAnsi="宋体" w:eastAsia="宋体" w:cs="宋体"/>
                <w:color w:val="auto"/>
                <w:sz w:val="20"/>
                <w:szCs w:val="20"/>
                <w:lang w:eastAsia="zh-CN"/>
              </w:rPr>
              <w:t>基础设施和服务的设计</w:t>
            </w:r>
          </w:p>
        </w:tc>
        <w:tc>
          <w:tcPr>
            <w:tcW w:w="3416" w:type="dxa"/>
            <w:tcBorders>
              <w:top w:val="single" w:color="808080" w:sz="4" w:space="0"/>
              <w:left w:val="single" w:color="808080" w:sz="4" w:space="0"/>
              <w:bottom w:val="single" w:color="808080" w:sz="4" w:space="0"/>
              <w:right w:val="single" w:color="808080" w:sz="4" w:space="0"/>
            </w:tcBorders>
            <w:shd w:val="clear" w:color="auto" w:fill="auto"/>
          </w:tcPr>
          <w:p>
            <w:pPr>
              <w:keepNext/>
              <w:keepLines/>
              <w:numPr>
                <w:ilvl w:val="0"/>
                <w:numId w:val="25"/>
              </w:numPr>
              <w:spacing w:after="60"/>
              <w:textAlignment w:val="baseline"/>
              <w:rPr>
                <w:rFonts w:ascii="宋体" w:hAnsi="宋体" w:eastAsia="宋体" w:cs="宋体"/>
                <w:color w:val="auto"/>
                <w:sz w:val="20"/>
                <w:szCs w:val="20"/>
                <w:lang w:eastAsia="zh-CN"/>
              </w:rPr>
            </w:pPr>
            <w:r>
              <w:rPr>
                <w:rFonts w:eastAsia="宋体" w:cs="Verdana"/>
                <w:color w:val="auto"/>
                <w:sz w:val="20"/>
                <w:szCs w:val="20"/>
                <w:lang w:eastAsia="zh-CN"/>
              </w:rPr>
              <w:t>ICT</w:t>
            </w:r>
            <w:r>
              <w:rPr>
                <w:rFonts w:hint="eastAsia" w:ascii="宋体" w:hAnsi="宋体" w:eastAsia="宋体" w:cs="宋体"/>
                <w:color w:val="auto"/>
                <w:sz w:val="20"/>
                <w:szCs w:val="20"/>
                <w:lang w:eastAsia="zh-CN"/>
              </w:rPr>
              <w:t>基础设施和服务设计，以解决从观测站向国家实时数据管理系统以及向</w:t>
            </w:r>
            <w:r>
              <w:rPr>
                <w:rFonts w:eastAsia="宋体" w:cs="Verdana"/>
                <w:color w:val="auto"/>
                <w:sz w:val="20"/>
                <w:szCs w:val="20"/>
                <w:lang w:eastAsia="zh-CN"/>
              </w:rPr>
              <w:t>GTS</w:t>
            </w:r>
            <w:r>
              <w:rPr>
                <w:rFonts w:hint="eastAsia" w:ascii="宋体" w:hAnsi="宋体" w:eastAsia="宋体" w:cs="宋体"/>
                <w:color w:val="auto"/>
                <w:sz w:val="20"/>
                <w:szCs w:val="20"/>
                <w:lang w:eastAsia="zh-CN"/>
              </w:rPr>
              <w:t>和</w:t>
            </w:r>
            <w:r>
              <w:rPr>
                <w:rFonts w:eastAsia="宋体" w:cs="Verdana"/>
                <w:color w:val="auto"/>
                <w:sz w:val="20"/>
                <w:szCs w:val="20"/>
                <w:lang w:eastAsia="zh-CN"/>
              </w:rPr>
              <w:t>WIS 2.0</w:t>
            </w:r>
            <w:r>
              <w:rPr>
                <w:rFonts w:hint="eastAsia" w:ascii="宋体" w:hAnsi="宋体" w:eastAsia="宋体" w:cs="宋体"/>
                <w:color w:val="auto"/>
                <w:sz w:val="20"/>
                <w:szCs w:val="20"/>
                <w:lang w:eastAsia="zh-CN"/>
              </w:rPr>
              <w:t>传输数据的问题，包括</w:t>
            </w:r>
          </w:p>
          <w:p>
            <w:pPr>
              <w:keepNext/>
              <w:keepLines/>
              <w:numPr>
                <w:ilvl w:val="0"/>
                <w:numId w:val="25"/>
              </w:numPr>
              <w:spacing w:after="60"/>
              <w:textAlignment w:val="baseline"/>
              <w:rPr>
                <w:rFonts w:ascii="宋体" w:hAnsi="宋体" w:eastAsia="宋体" w:cs="宋体"/>
                <w:color w:val="auto"/>
                <w:sz w:val="20"/>
                <w:szCs w:val="20"/>
                <w:lang w:eastAsia="zh-CN"/>
              </w:rPr>
            </w:pPr>
            <w:r>
              <w:rPr>
                <w:rFonts w:eastAsia="宋体" w:cs="Verdana"/>
                <w:color w:val="auto"/>
                <w:sz w:val="20"/>
                <w:szCs w:val="20"/>
                <w:lang w:eastAsia="zh-CN"/>
              </w:rPr>
              <w:t>ICT</w:t>
            </w:r>
            <w:r>
              <w:rPr>
                <w:rFonts w:hint="eastAsia" w:ascii="宋体" w:hAnsi="宋体" w:eastAsia="宋体" w:cs="宋体"/>
                <w:color w:val="auto"/>
                <w:sz w:val="20"/>
                <w:szCs w:val="20"/>
                <w:lang w:eastAsia="zh-CN"/>
              </w:rPr>
              <w:t>基础设施和服务设计的详细说明</w:t>
            </w:r>
          </w:p>
          <w:p>
            <w:pPr>
              <w:keepNext/>
              <w:keepLines/>
              <w:numPr>
                <w:ilvl w:val="0"/>
                <w:numId w:val="25"/>
              </w:numPr>
              <w:spacing w:after="60"/>
              <w:textAlignment w:val="baseline"/>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观测站至采集点数据采集系统的技术规范</w:t>
            </w:r>
          </w:p>
          <w:p>
            <w:pPr>
              <w:keepNext/>
              <w:keepLines/>
              <w:numPr>
                <w:ilvl w:val="0"/>
                <w:numId w:val="25"/>
              </w:numPr>
              <w:spacing w:after="60"/>
              <w:textAlignment w:val="baseline"/>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数据服务的技术规范（兼容</w:t>
            </w:r>
            <w:r>
              <w:rPr>
                <w:rFonts w:eastAsia="宋体" w:cs="Verdana"/>
                <w:color w:val="auto"/>
                <w:sz w:val="20"/>
                <w:szCs w:val="20"/>
                <w:lang w:eastAsia="zh-CN"/>
              </w:rPr>
              <w:t>WIS 2.0</w:t>
            </w:r>
            <w:r>
              <w:rPr>
                <w:rFonts w:hint="eastAsia" w:ascii="宋体" w:hAnsi="宋体" w:eastAsia="宋体" w:cs="宋体"/>
                <w:color w:val="auto"/>
                <w:sz w:val="20"/>
                <w:szCs w:val="20"/>
                <w:lang w:eastAsia="zh-CN"/>
              </w:rPr>
              <w:t>要求）</w:t>
            </w:r>
          </w:p>
          <w:p>
            <w:pPr>
              <w:keepNext/>
              <w:keepLines/>
              <w:numPr>
                <w:ilvl w:val="0"/>
                <w:numId w:val="25"/>
              </w:numPr>
              <w:spacing w:after="60"/>
              <w:textAlignment w:val="baseline"/>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详细说明确保整个数据处理链的复原力和连续性的措施</w:t>
            </w:r>
          </w:p>
        </w:tc>
        <w:tc>
          <w:tcPr>
            <w:tcW w:w="3752" w:type="dxa"/>
            <w:tcBorders>
              <w:top w:val="single" w:color="808080" w:sz="4" w:space="0"/>
              <w:left w:val="single" w:color="808080" w:sz="4" w:space="0"/>
              <w:bottom w:val="single" w:color="808080" w:sz="4" w:space="0"/>
              <w:right w:val="single" w:color="808080" w:sz="4" w:space="0"/>
            </w:tcBorders>
            <w:shd w:val="clear" w:color="auto" w:fill="auto"/>
          </w:tcPr>
          <w:p>
            <w:pPr>
              <w:keepNext/>
              <w:keepLines/>
              <w:spacing w:after="60"/>
              <w:rPr>
                <w:rFonts w:ascii="宋体" w:hAnsi="宋体" w:eastAsia="宋体" w:cs="宋体"/>
                <w:sz w:val="20"/>
                <w:szCs w:val="20"/>
                <w:lang w:eastAsia="en-US"/>
              </w:rPr>
            </w:pPr>
            <w:bookmarkStart w:id="39" w:name="OLE_LINK9"/>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电码手册</w:t>
            </w:r>
            <w:r>
              <w:rPr>
                <w:rFonts w:hint="eastAsia" w:ascii="宋体" w:hAnsi="宋体" w:eastAsia="宋体" w:cs="宋体"/>
                <w:sz w:val="20"/>
                <w:szCs w:val="20"/>
                <w:lang w:eastAsia="zh-CN"/>
              </w:rPr>
              <w:t>》（</w:t>
            </w:r>
            <w:r>
              <w:rPr>
                <w:rFonts w:eastAsia="宋体" w:cs="Verdana"/>
                <w:color w:val="auto"/>
                <w:sz w:val="20"/>
                <w:szCs w:val="20"/>
              </w:rPr>
              <w:t>WMO-No. 306</w:t>
            </w:r>
            <w:r>
              <w:rPr>
                <w:rFonts w:hint="eastAsia" w:ascii="宋体" w:hAnsi="宋体" w:eastAsia="宋体" w:cs="宋体"/>
                <w:color w:val="auto"/>
                <w:sz w:val="20"/>
                <w:szCs w:val="20"/>
                <w:lang w:eastAsia="zh-CN"/>
              </w:rPr>
              <w:t>）</w:t>
            </w:r>
            <w:r>
              <w:rPr>
                <w:rFonts w:hint="eastAsia" w:ascii="宋体" w:hAnsi="宋体" w:eastAsia="宋体" w:cs="宋体"/>
                <w:color w:val="auto"/>
                <w:sz w:val="20"/>
                <w:szCs w:val="20"/>
                <w:lang w:val="en-US" w:eastAsia="zh-CN"/>
              </w:rPr>
              <w:t>第</w:t>
            </w:r>
            <w:r>
              <w:rPr>
                <w:sz w:val="22"/>
                <w:szCs w:val="22"/>
              </w:rPr>
              <w:fldChar w:fldCharType="begin"/>
            </w:r>
            <w:r>
              <w:rPr>
                <w:rFonts w:eastAsia="宋体" w:cs="Verdana"/>
                <w:sz w:val="20"/>
                <w:szCs w:val="20"/>
              </w:rPr>
              <w:instrText xml:space="preserve"> HYPERLINK "https://library.wmo.int/index.php?lvl=notice_display&amp;id=13617" </w:instrText>
            </w:r>
            <w:r>
              <w:rPr>
                <w:sz w:val="22"/>
                <w:szCs w:val="22"/>
              </w:rPr>
              <w:fldChar w:fldCharType="separate"/>
            </w:r>
            <w:r>
              <w:rPr>
                <w:rStyle w:val="204"/>
                <w:rFonts w:eastAsia="宋体" w:cs="Verdana"/>
                <w:i w:val="0"/>
                <w:sz w:val="20"/>
                <w:szCs w:val="20"/>
              </w:rPr>
              <w:t>I.1</w:t>
            </w:r>
            <w:r>
              <w:rPr>
                <w:rStyle w:val="204"/>
                <w:rFonts w:eastAsia="宋体" w:cs="Verdana"/>
                <w:i w:val="0"/>
                <w:sz w:val="22"/>
                <w:szCs w:val="22"/>
              </w:rPr>
              <w:fldChar w:fldCharType="end"/>
            </w:r>
            <w:r>
              <w:rPr>
                <w:rStyle w:val="204"/>
                <w:rFonts w:hint="eastAsia" w:ascii="宋体" w:hAnsi="宋体" w:eastAsia="宋体" w:cs="宋体"/>
                <w:i w:val="0"/>
                <w:sz w:val="20"/>
                <w:szCs w:val="20"/>
                <w:lang w:eastAsia="zh-CN"/>
              </w:rPr>
              <w:t>、</w:t>
            </w:r>
            <w:r>
              <w:rPr>
                <w:sz w:val="22"/>
                <w:szCs w:val="22"/>
              </w:rPr>
              <w:fldChar w:fldCharType="begin"/>
            </w:r>
            <w:r>
              <w:rPr>
                <w:rFonts w:eastAsia="宋体" w:cs="Verdana"/>
                <w:sz w:val="20"/>
                <w:szCs w:val="20"/>
              </w:rPr>
              <w:instrText xml:space="preserve"> HYPERLINK "https://library.wmo.int/index.php?lvl=notice_display&amp;id=10684" </w:instrText>
            </w:r>
            <w:r>
              <w:rPr>
                <w:sz w:val="22"/>
                <w:szCs w:val="22"/>
              </w:rPr>
              <w:fldChar w:fldCharType="separate"/>
            </w:r>
            <w:r>
              <w:rPr>
                <w:rStyle w:val="204"/>
                <w:rFonts w:eastAsia="宋体" w:cs="Verdana"/>
                <w:i w:val="0"/>
                <w:sz w:val="20"/>
                <w:szCs w:val="20"/>
              </w:rPr>
              <w:t>I.2</w:t>
            </w:r>
            <w:r>
              <w:rPr>
                <w:rStyle w:val="204"/>
                <w:rFonts w:eastAsia="宋体" w:cs="Verdana"/>
                <w:i w:val="0"/>
                <w:sz w:val="22"/>
                <w:szCs w:val="22"/>
              </w:rPr>
              <w:fldChar w:fldCharType="end"/>
            </w:r>
            <w:r>
              <w:rPr>
                <w:rFonts w:hint="eastAsia" w:ascii="宋体" w:hAnsi="宋体" w:eastAsia="宋体" w:cs="宋体"/>
                <w:sz w:val="20"/>
                <w:szCs w:val="20"/>
                <w:lang w:val="en-US" w:eastAsia="zh-CN"/>
              </w:rPr>
              <w:t>和</w:t>
            </w:r>
            <w:r>
              <w:rPr>
                <w:sz w:val="22"/>
                <w:szCs w:val="22"/>
              </w:rPr>
              <w:fldChar w:fldCharType="begin"/>
            </w:r>
            <w:r>
              <w:rPr>
                <w:rFonts w:eastAsia="宋体" w:cs="Verdana"/>
                <w:sz w:val="20"/>
                <w:szCs w:val="20"/>
              </w:rPr>
              <w:instrText xml:space="preserve"> HYPERLINK "https://library.wmo.int/index.php?lvl=notice_display&amp;id=19508" </w:instrText>
            </w:r>
            <w:r>
              <w:rPr>
                <w:sz w:val="22"/>
                <w:szCs w:val="22"/>
              </w:rPr>
              <w:fldChar w:fldCharType="separate"/>
            </w:r>
            <w:r>
              <w:rPr>
                <w:rStyle w:val="204"/>
                <w:rFonts w:eastAsia="宋体" w:cs="Verdana"/>
                <w:i w:val="0"/>
                <w:sz w:val="20"/>
                <w:szCs w:val="20"/>
              </w:rPr>
              <w:t>I.3</w:t>
            </w:r>
            <w:r>
              <w:rPr>
                <w:rStyle w:val="204"/>
                <w:rFonts w:eastAsia="宋体" w:cs="Verdana"/>
                <w:i w:val="0"/>
                <w:sz w:val="22"/>
                <w:szCs w:val="22"/>
              </w:rPr>
              <w:fldChar w:fldCharType="end"/>
            </w:r>
            <w:r>
              <w:rPr>
                <w:rStyle w:val="204"/>
                <w:rFonts w:hint="eastAsia" w:ascii="宋体" w:hAnsi="宋体" w:eastAsia="宋体" w:cs="宋体"/>
                <w:i w:val="0"/>
                <w:iCs/>
                <w:sz w:val="20"/>
                <w:szCs w:val="20"/>
                <w:lang w:val="en-US" w:eastAsia="zh-CN"/>
              </w:rPr>
              <w:t>卷</w:t>
            </w:r>
          </w:p>
          <w:bookmarkEnd w:id="39"/>
          <w:p>
            <w:pPr>
              <w:keepNext/>
              <w:keepLines/>
              <w:spacing w:after="60"/>
              <w:rPr>
                <w:rFonts w:ascii="宋体" w:hAnsi="宋体" w:eastAsia="宋体" w:cs="宋体"/>
                <w:sz w:val="20"/>
                <w:szCs w:val="20"/>
                <w:lang w:eastAsia="en-US"/>
              </w:rPr>
            </w:pPr>
          </w:p>
          <w:p>
            <w:pPr>
              <w:keepNext/>
              <w:keepLines/>
              <w:spacing w:after="60"/>
              <w:rPr>
                <w:rFonts w:ascii="宋体" w:hAnsi="宋体" w:eastAsia="宋体" w:cs="宋体"/>
                <w:color w:val="auto"/>
                <w:sz w:val="20"/>
                <w:szCs w:val="20"/>
                <w:lang w:eastAsia="en-US"/>
              </w:rPr>
            </w:pPr>
            <w:r>
              <w:rPr>
                <w:sz w:val="22"/>
                <w:szCs w:val="22"/>
              </w:rPr>
              <w:fldChar w:fldCharType="begin"/>
            </w:r>
            <w:r>
              <w:rPr>
                <w:sz w:val="22"/>
                <w:szCs w:val="22"/>
              </w:rPr>
              <w:instrText xml:space="preserve"> HYPERLINK "https://library.wmo.int/index.php?lvl=notice_display&amp;id=9298" \l ".Y-eVrsdBybg" </w:instrText>
            </w:r>
            <w:r>
              <w:rPr>
                <w:sz w:val="22"/>
                <w:szCs w:val="22"/>
              </w:rPr>
              <w:fldChar w:fldCharType="separate"/>
            </w:r>
            <w:r>
              <w:rPr>
                <w:rStyle w:val="43"/>
                <w:rFonts w:hint="eastAsia" w:ascii="宋体" w:hAnsi="宋体" w:eastAsia="宋体" w:cs="宋体"/>
                <w:sz w:val="20"/>
                <w:szCs w:val="20"/>
                <w:lang w:eastAsia="zh-CN"/>
              </w:rPr>
              <w:t>《</w:t>
            </w:r>
            <w:r>
              <w:rPr>
                <w:rStyle w:val="43"/>
                <w:rFonts w:eastAsia="宋体" w:cs="Verdana"/>
                <w:sz w:val="20"/>
                <w:szCs w:val="20"/>
                <w:lang w:eastAsia="zh-CN"/>
              </w:rPr>
              <w:t>WMO</w:t>
            </w:r>
            <w:r>
              <w:rPr>
                <w:rStyle w:val="43"/>
                <w:rFonts w:hint="eastAsia" w:ascii="宋体" w:hAnsi="宋体" w:eastAsia="宋体" w:cs="宋体"/>
                <w:sz w:val="20"/>
                <w:szCs w:val="20"/>
                <w:lang w:eastAsia="zh-CN"/>
              </w:rPr>
              <w:t>信息系统手册》</w:t>
            </w:r>
            <w:r>
              <w:rPr>
                <w:rStyle w:val="43"/>
                <w:rFonts w:hint="eastAsia" w:ascii="宋体" w:hAnsi="宋体" w:eastAsia="宋体" w:cs="宋体"/>
                <w:sz w:val="20"/>
                <w:szCs w:val="20"/>
                <w:lang w:eastAsia="zh-CN"/>
              </w:rPr>
              <w:fldChar w:fldCharType="end"/>
            </w:r>
            <w:r>
              <w:rPr>
                <w:rStyle w:val="204"/>
                <w:rFonts w:hint="eastAsia" w:ascii="宋体" w:hAnsi="宋体" w:eastAsia="宋体" w:cs="宋体"/>
                <w:i w:val="0"/>
                <w:iCs/>
                <w:sz w:val="20"/>
                <w:szCs w:val="20"/>
                <w:lang w:val="en-US" w:eastAsia="zh-CN"/>
              </w:rPr>
              <w:t>（</w:t>
            </w:r>
            <w:r>
              <w:rPr>
                <w:rFonts w:eastAsia="宋体" w:cs="Verdana"/>
                <w:sz w:val="20"/>
                <w:szCs w:val="20"/>
              </w:rPr>
              <w:t>WMO</w:t>
            </w:r>
            <w:r>
              <w:rPr>
                <w:rFonts w:eastAsia="宋体" w:cs="Verdana"/>
                <w:sz w:val="20"/>
                <w:szCs w:val="20"/>
              </w:rPr>
              <w:noBreakHyphen/>
            </w:r>
            <w:r>
              <w:rPr>
                <w:rFonts w:eastAsia="宋体" w:cs="Verdana"/>
                <w:sz w:val="20"/>
                <w:szCs w:val="20"/>
              </w:rPr>
              <w:t>No. 1060</w:t>
            </w:r>
            <w:r>
              <w:rPr>
                <w:rFonts w:hint="eastAsia" w:ascii="宋体" w:hAnsi="宋体" w:eastAsia="宋体" w:cs="宋体"/>
                <w:sz w:val="20"/>
                <w:szCs w:val="20"/>
                <w:lang w:eastAsia="zh-CN"/>
              </w:rPr>
              <w:t>）</w:t>
            </w:r>
          </w:p>
          <w:p>
            <w:pPr>
              <w:keepNext/>
              <w:keepLines/>
              <w:spacing w:after="60"/>
              <w:rPr>
                <w:rFonts w:ascii="宋体" w:hAnsi="宋体" w:eastAsia="宋体" w:cs="宋体"/>
                <w:color w:val="auto"/>
                <w:sz w:val="20"/>
                <w:szCs w:val="20"/>
                <w:lang w:eastAsia="en-US"/>
              </w:rPr>
            </w:pPr>
          </w:p>
          <w:p>
            <w:pPr>
              <w:keepNext/>
              <w:keepLines/>
              <w:spacing w:after="60"/>
              <w:rPr>
                <w:rFonts w:ascii="宋体" w:hAnsi="宋体" w:eastAsia="宋体" w:cs="宋体"/>
                <w:color w:val="auto"/>
                <w:sz w:val="20"/>
                <w:szCs w:val="20"/>
                <w:lang w:eastAsia="en-US"/>
              </w:rPr>
            </w:pPr>
            <w:bookmarkStart w:id="40" w:name="OLE_LINK8"/>
            <w:r>
              <w:rPr>
                <w:rFonts w:hint="eastAsia" w:ascii="宋体" w:hAnsi="宋体" w:eastAsia="宋体" w:cs="宋体"/>
                <w:sz w:val="22"/>
                <w:szCs w:val="22"/>
                <w:lang w:val="en-US" w:eastAsia="zh-CN"/>
              </w:rPr>
              <w:fldChar w:fldCharType="begin"/>
            </w:r>
            <w:r>
              <w:rPr>
                <w:rFonts w:hint="eastAsia" w:ascii="宋体" w:hAnsi="宋体" w:eastAsia="宋体" w:cs="宋体"/>
                <w:sz w:val="20"/>
                <w:szCs w:val="20"/>
                <w:lang w:val="en-US" w:eastAsia="zh-CN"/>
              </w:rPr>
              <w:instrText xml:space="preserve"> HYPERLINK "https://library.wmo.int/index.php?lvl=notice_display&amp;id=21811" \l ".Y-eWN8dBybg" </w:instrText>
            </w:r>
            <w:r>
              <w:rPr>
                <w:rFonts w:hint="eastAsia" w:ascii="宋体" w:hAnsi="宋体" w:eastAsia="宋体" w:cs="宋体"/>
                <w:sz w:val="22"/>
                <w:szCs w:val="22"/>
                <w:lang w:val="en-US" w:eastAsia="zh-CN"/>
              </w:rPr>
              <w:fldChar w:fldCharType="separate"/>
            </w:r>
            <w:r>
              <w:rPr>
                <w:rStyle w:val="43"/>
                <w:rFonts w:hint="eastAsia" w:ascii="宋体" w:hAnsi="宋体" w:eastAsia="宋体" w:cs="宋体"/>
                <w:sz w:val="20"/>
                <w:szCs w:val="20"/>
                <w:lang w:val="en-US" w:eastAsia="zh-CN"/>
              </w:rPr>
              <w:t>《全球电信系统手册》</w:t>
            </w:r>
            <w:r>
              <w:rPr>
                <w:rFonts w:hint="eastAsia" w:ascii="宋体" w:hAnsi="宋体" w:eastAsia="宋体" w:cs="宋体"/>
                <w:sz w:val="22"/>
                <w:szCs w:val="22"/>
                <w:lang w:val="en-US" w:eastAsia="zh-CN"/>
              </w:rPr>
              <w:fldChar w:fldCharType="end"/>
            </w:r>
            <w:r>
              <w:rPr>
                <w:rFonts w:hint="eastAsia" w:ascii="宋体" w:hAnsi="宋体" w:eastAsia="宋体" w:cs="宋体"/>
                <w:sz w:val="20"/>
                <w:szCs w:val="20"/>
                <w:lang w:val="en-US" w:eastAsia="zh-CN"/>
              </w:rPr>
              <w:t>（</w:t>
            </w:r>
            <w:r>
              <w:rPr>
                <w:rFonts w:eastAsia="宋体" w:cs="Verdana"/>
                <w:sz w:val="20"/>
                <w:szCs w:val="20"/>
              </w:rPr>
              <w:t>WMO</w:t>
            </w:r>
            <w:r>
              <w:rPr>
                <w:rFonts w:eastAsia="宋体" w:cs="Verdana"/>
                <w:sz w:val="20"/>
                <w:szCs w:val="20"/>
              </w:rPr>
              <w:noBreakHyphen/>
            </w:r>
            <w:r>
              <w:rPr>
                <w:rFonts w:eastAsia="宋体" w:cs="Verdana"/>
                <w:sz w:val="20"/>
                <w:szCs w:val="20"/>
              </w:rPr>
              <w:t>No. 386</w:t>
            </w:r>
            <w:r>
              <w:rPr>
                <w:rFonts w:hint="eastAsia" w:ascii="宋体" w:hAnsi="宋体" w:eastAsia="宋体" w:cs="宋体"/>
                <w:sz w:val="20"/>
                <w:szCs w:val="20"/>
                <w:lang w:eastAsia="zh-CN"/>
              </w:rPr>
              <w:t>）</w:t>
            </w:r>
            <w:bookmarkEnd w:id="40"/>
          </w:p>
          <w:p>
            <w:pPr>
              <w:keepNext/>
              <w:keepLines/>
              <w:spacing w:after="60"/>
              <w:rPr>
                <w:rFonts w:ascii="宋体" w:hAnsi="宋体" w:eastAsia="宋体" w:cs="宋体"/>
                <w:color w:val="auto"/>
                <w:sz w:val="20"/>
                <w:szCs w:val="20"/>
                <w:lang w:eastAsia="en-US"/>
              </w:rPr>
            </w:pPr>
          </w:p>
          <w:p>
            <w:pPr>
              <w:keepNext/>
              <w:keepLines/>
              <w:spacing w:after="60"/>
              <w:rPr>
                <w:rFonts w:ascii="宋体" w:hAnsi="宋体" w:eastAsia="宋体" w:cs="宋体"/>
                <w:color w:val="auto"/>
                <w:sz w:val="20"/>
                <w:szCs w:val="20"/>
                <w:lang w:val="de-DE" w:eastAsia="en-US"/>
              </w:rPr>
            </w:pPr>
            <w:r>
              <w:rPr>
                <w:rFonts w:eastAsia="宋体" w:cs="Verdana"/>
                <w:color w:val="auto"/>
                <w:sz w:val="20"/>
                <w:szCs w:val="20"/>
                <w:lang w:val="de-DE" w:eastAsia="en-US"/>
              </w:rPr>
              <w:t>WIS 2.0</w:t>
            </w:r>
            <w:r>
              <w:rPr>
                <w:rFonts w:hint="eastAsia" w:ascii="宋体" w:hAnsi="宋体" w:eastAsia="宋体" w:cs="宋体"/>
                <w:color w:val="auto"/>
                <w:sz w:val="20"/>
                <w:szCs w:val="20"/>
                <w:lang w:val="en-US" w:eastAsia="zh-CN"/>
              </w:rPr>
              <w:t>要求</w:t>
            </w:r>
            <w:r>
              <w:rPr>
                <w:rStyle w:val="204"/>
                <w:rFonts w:eastAsia="宋体" w:cs="Verdana"/>
                <w:i w:val="0"/>
                <w:iCs/>
                <w:sz w:val="20"/>
                <w:szCs w:val="20"/>
                <w:lang w:val="de-DE" w:eastAsia="en-US"/>
              </w:rPr>
              <w:t>http://docs.wis2box.wis.wmo.int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779" w:type="dxa"/>
            <w:tcBorders>
              <w:top w:val="single" w:color="808080" w:sz="4" w:space="0"/>
              <w:left w:val="single" w:color="808080" w:sz="4" w:space="0"/>
              <w:bottom w:val="single" w:color="808080" w:sz="4" w:space="0"/>
              <w:right w:val="single" w:color="808080" w:sz="4" w:space="0"/>
            </w:tcBorders>
            <w:shd w:val="clear" w:color="auto" w:fill="auto"/>
          </w:tcPr>
          <w:p>
            <w:pPr>
              <w:spacing w:after="60"/>
              <w:rPr>
                <w:rFonts w:eastAsia="Segoe UI" w:cs="Segoe UI"/>
                <w:color w:val="auto"/>
                <w:sz w:val="20"/>
                <w:szCs w:val="20"/>
                <w:lang w:eastAsia="en-US"/>
              </w:rPr>
            </w:pPr>
            <w:r>
              <w:rPr>
                <w:rFonts w:eastAsia="Segoe UI" w:cs="Segoe UI"/>
                <w:color w:val="auto"/>
                <w:sz w:val="20"/>
                <w:szCs w:val="20"/>
                <w:lang w:eastAsia="en-US"/>
              </w:rPr>
              <w:t>3.3</w:t>
            </w:r>
          </w:p>
        </w:tc>
        <w:tc>
          <w:tcPr>
            <w:tcW w:w="1908" w:type="dxa"/>
            <w:tcBorders>
              <w:top w:val="single" w:color="808080" w:sz="4" w:space="0"/>
              <w:left w:val="single" w:color="808080" w:sz="4" w:space="0"/>
              <w:bottom w:val="single" w:color="808080" w:sz="4" w:space="0"/>
              <w:right w:val="single" w:color="808080" w:sz="4" w:space="0"/>
            </w:tcBorders>
            <w:shd w:val="clear" w:color="auto" w:fill="auto"/>
          </w:tcPr>
          <w:p>
            <w:pPr>
              <w:spacing w:after="60"/>
              <w:rPr>
                <w:rFonts w:ascii="宋体" w:hAnsi="宋体" w:eastAsia="宋体" w:cs="宋体"/>
                <w:color w:val="auto"/>
                <w:sz w:val="20"/>
                <w:szCs w:val="20"/>
                <w:lang w:eastAsia="en-US"/>
              </w:rPr>
            </w:pPr>
            <w:r>
              <w:rPr>
                <w:rFonts w:hint="eastAsia" w:ascii="宋体" w:hAnsi="宋体" w:eastAsia="宋体" w:cs="宋体"/>
                <w:color w:val="auto"/>
                <w:sz w:val="20"/>
                <w:szCs w:val="20"/>
                <w:lang w:eastAsia="en-US"/>
              </w:rPr>
              <w:t>设计数据管理系统</w:t>
            </w:r>
          </w:p>
        </w:tc>
        <w:tc>
          <w:tcPr>
            <w:tcW w:w="3416" w:type="dxa"/>
            <w:tcBorders>
              <w:top w:val="single" w:color="808080" w:sz="4" w:space="0"/>
              <w:left w:val="single" w:color="808080" w:sz="4" w:space="0"/>
              <w:bottom w:val="single" w:color="808080" w:sz="4" w:space="0"/>
              <w:right w:val="single" w:color="808080" w:sz="4" w:space="0"/>
            </w:tcBorders>
            <w:shd w:val="clear" w:color="auto" w:fill="auto"/>
          </w:tcPr>
          <w:p>
            <w:pPr>
              <w:numPr>
                <w:ilvl w:val="0"/>
                <w:numId w:val="26"/>
              </w:numPr>
              <w:spacing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数据管理系统旨在实时提供业务应用程序所用数据，以及向气候数据管理系统（</w:t>
            </w:r>
            <w:r>
              <w:rPr>
                <w:rFonts w:eastAsia="宋体" w:cs="Verdana"/>
                <w:color w:val="auto"/>
                <w:sz w:val="20"/>
                <w:szCs w:val="20"/>
                <w:lang w:eastAsia="zh-CN"/>
              </w:rPr>
              <w:t>CDMS</w:t>
            </w:r>
            <w:r>
              <w:rPr>
                <w:rFonts w:hint="eastAsia" w:ascii="宋体" w:hAnsi="宋体" w:eastAsia="宋体" w:cs="宋体"/>
                <w:color w:val="auto"/>
                <w:sz w:val="20"/>
                <w:szCs w:val="20"/>
                <w:lang w:eastAsia="zh-CN"/>
              </w:rPr>
              <w:t>）提供数据以供长期存档。系统应提供</w:t>
            </w:r>
          </w:p>
          <w:p>
            <w:pPr>
              <w:numPr>
                <w:ilvl w:val="0"/>
                <w:numId w:val="27"/>
              </w:numPr>
              <w:spacing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通过国家和国际业务活动应用程序所需的服务和协议，提供短期数据存储和访问功能</w:t>
            </w:r>
          </w:p>
          <w:p>
            <w:pPr>
              <w:numPr>
                <w:ilvl w:val="0"/>
                <w:numId w:val="27"/>
              </w:numPr>
              <w:spacing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与</w:t>
            </w:r>
            <w:r>
              <w:rPr>
                <w:rFonts w:eastAsia="宋体" w:cs="Verdana"/>
                <w:color w:val="auto"/>
                <w:sz w:val="20"/>
                <w:szCs w:val="20"/>
                <w:lang w:eastAsia="zh-CN"/>
              </w:rPr>
              <w:t>WIS/GTS</w:t>
            </w:r>
            <w:r>
              <w:rPr>
                <w:rFonts w:hint="eastAsia" w:ascii="宋体" w:hAnsi="宋体" w:eastAsia="宋体" w:cs="宋体"/>
                <w:color w:val="auto"/>
                <w:sz w:val="20"/>
                <w:szCs w:val="20"/>
                <w:lang w:eastAsia="zh-CN"/>
              </w:rPr>
              <w:t>、</w:t>
            </w:r>
            <w:r>
              <w:rPr>
                <w:rFonts w:eastAsia="宋体" w:cs="Verdana"/>
                <w:color w:val="auto"/>
                <w:sz w:val="20"/>
                <w:szCs w:val="20"/>
                <w:lang w:eastAsia="zh-CN"/>
              </w:rPr>
              <w:t>WIS 2.0</w:t>
            </w:r>
            <w:r>
              <w:rPr>
                <w:rFonts w:hint="eastAsia" w:ascii="宋体" w:hAnsi="宋体" w:eastAsia="宋体" w:cs="宋体"/>
                <w:color w:val="auto"/>
                <w:sz w:val="20"/>
                <w:szCs w:val="20"/>
                <w:lang w:eastAsia="zh-CN"/>
              </w:rPr>
              <w:t>和业务活动所需的其他国家或国际来源交换数据</w:t>
            </w:r>
          </w:p>
          <w:p>
            <w:pPr>
              <w:numPr>
                <w:ilvl w:val="0"/>
                <w:numId w:val="27"/>
              </w:numPr>
              <w:spacing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向国家</w:t>
            </w:r>
            <w:r>
              <w:rPr>
                <w:rFonts w:eastAsia="宋体" w:cs="Verdana"/>
                <w:color w:val="auto"/>
                <w:sz w:val="20"/>
                <w:szCs w:val="20"/>
                <w:lang w:eastAsia="zh-CN"/>
              </w:rPr>
              <w:t>CDMS</w:t>
            </w:r>
            <w:r>
              <w:rPr>
                <w:rFonts w:hint="eastAsia" w:ascii="宋体" w:hAnsi="宋体" w:eastAsia="宋体" w:cs="宋体"/>
                <w:color w:val="auto"/>
                <w:sz w:val="20"/>
                <w:szCs w:val="20"/>
                <w:lang w:eastAsia="zh-CN"/>
              </w:rPr>
              <w:t>提供数据</w:t>
            </w:r>
          </w:p>
          <w:p>
            <w:pPr>
              <w:numPr>
                <w:ilvl w:val="0"/>
                <w:numId w:val="27"/>
              </w:numPr>
              <w:spacing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发现和描述性元数据管理</w:t>
            </w:r>
          </w:p>
          <w:p>
            <w:pPr>
              <w:numPr>
                <w:ilvl w:val="0"/>
                <w:numId w:val="27"/>
              </w:numPr>
              <w:spacing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监测数据、处理和服务</w:t>
            </w:r>
          </w:p>
        </w:tc>
        <w:tc>
          <w:tcPr>
            <w:tcW w:w="3752" w:type="dxa"/>
            <w:tcBorders>
              <w:top w:val="single" w:color="808080" w:sz="4" w:space="0"/>
              <w:left w:val="single" w:color="808080" w:sz="4" w:space="0"/>
              <w:bottom w:val="single" w:color="808080" w:sz="4" w:space="0"/>
              <w:right w:val="single" w:color="808080" w:sz="4" w:space="0"/>
            </w:tcBorders>
            <w:shd w:val="clear" w:color="auto" w:fill="auto"/>
          </w:tcPr>
          <w:p>
            <w:pPr>
              <w:spacing w:after="60"/>
              <w:rPr>
                <w:rFonts w:ascii="宋体" w:hAnsi="宋体" w:eastAsia="宋体" w:cs="宋体"/>
                <w:color w:val="auto"/>
                <w:sz w:val="20"/>
                <w:szCs w:val="20"/>
                <w:lang w:eastAsia="zh-CN"/>
              </w:rPr>
            </w:pPr>
            <w:r>
              <w:rPr>
                <w:sz w:val="22"/>
                <w:szCs w:val="22"/>
              </w:rPr>
              <w:fldChar w:fldCharType="begin"/>
            </w:r>
            <w:r>
              <w:rPr>
                <w:sz w:val="22"/>
                <w:szCs w:val="22"/>
              </w:rPr>
              <w:instrText xml:space="preserve"> HYPERLINK "https://library.wmo.int/index.php?lvl=notice_display&amp;id=19620" \l ".Y-eVBMdBybg" </w:instrText>
            </w:r>
            <w:r>
              <w:rPr>
                <w:sz w:val="22"/>
                <w:szCs w:val="22"/>
              </w:rPr>
              <w:fldChar w:fldCharType="separate"/>
            </w:r>
            <w:r>
              <w:rPr>
                <w:rStyle w:val="43"/>
                <w:rFonts w:hint="eastAsia" w:ascii="宋体" w:hAnsi="宋体" w:eastAsia="宋体" w:cs="宋体"/>
                <w:sz w:val="20"/>
                <w:szCs w:val="20"/>
                <w:lang w:eastAsia="zh-CN"/>
              </w:rPr>
              <w:t>《</w:t>
            </w:r>
            <w:r>
              <w:rPr>
                <w:rStyle w:val="43"/>
                <w:rFonts w:eastAsia="宋体" w:cs="Verdana"/>
                <w:sz w:val="20"/>
                <w:szCs w:val="20"/>
                <w:lang w:eastAsia="zh-CN"/>
              </w:rPr>
              <w:t>WMO</w:t>
            </w:r>
            <w:r>
              <w:rPr>
                <w:rStyle w:val="43"/>
                <w:rFonts w:hint="eastAsia" w:ascii="宋体" w:hAnsi="宋体" w:eastAsia="宋体" w:cs="宋体"/>
                <w:sz w:val="20"/>
                <w:szCs w:val="20"/>
                <w:lang w:eastAsia="zh-CN"/>
              </w:rPr>
              <w:t>全球综合观测系统手册》</w:t>
            </w:r>
            <w:r>
              <w:rPr>
                <w:rStyle w:val="43"/>
                <w:rFonts w:hint="eastAsia" w:ascii="宋体" w:hAnsi="宋体" w:eastAsia="宋体" w:cs="宋体"/>
                <w:sz w:val="20"/>
                <w:szCs w:val="20"/>
                <w:lang w:eastAsia="zh-CN"/>
              </w:rPr>
              <w:fldChar w:fldCharType="end"/>
            </w:r>
            <w:r>
              <w:rPr>
                <w:rFonts w:hint="eastAsia" w:ascii="宋体" w:hAnsi="宋体" w:eastAsia="宋体" w:cs="宋体"/>
                <w:sz w:val="20"/>
                <w:szCs w:val="20"/>
                <w:lang w:eastAsia="zh-CN"/>
              </w:rPr>
              <w:t>（</w:t>
            </w:r>
            <w:r>
              <w:rPr>
                <w:rFonts w:eastAsia="宋体" w:cs="Verdana"/>
                <w:sz w:val="20"/>
                <w:szCs w:val="20"/>
              </w:rPr>
              <w:t>WMO</w:t>
            </w:r>
            <w:r>
              <w:rPr>
                <w:rFonts w:eastAsia="宋体" w:cs="Verdana"/>
                <w:sz w:val="20"/>
                <w:szCs w:val="20"/>
              </w:rPr>
              <w:noBreakHyphen/>
            </w:r>
            <w:r>
              <w:rPr>
                <w:rFonts w:eastAsia="宋体" w:cs="Verdana"/>
                <w:sz w:val="20"/>
                <w:szCs w:val="20"/>
              </w:rPr>
              <w:t>No. 1160</w:t>
            </w:r>
            <w:r>
              <w:rPr>
                <w:rFonts w:hint="eastAsia" w:ascii="宋体" w:hAnsi="宋体" w:eastAsia="宋体" w:cs="宋体"/>
                <w:sz w:val="20"/>
                <w:szCs w:val="20"/>
                <w:lang w:eastAsia="zh-CN"/>
              </w:rPr>
              <w:t>）</w:t>
            </w:r>
          </w:p>
          <w:p>
            <w:pPr>
              <w:spacing w:after="60"/>
              <w:rPr>
                <w:rFonts w:ascii="宋体" w:hAnsi="宋体" w:eastAsia="宋体" w:cs="宋体"/>
                <w:color w:val="auto"/>
                <w:sz w:val="20"/>
                <w:szCs w:val="20"/>
                <w:lang w:eastAsia="zh-CN"/>
              </w:rPr>
            </w:pPr>
          </w:p>
          <w:p>
            <w:pPr>
              <w:keepNext/>
              <w:keepLines/>
              <w:spacing w:after="60"/>
              <w:rPr>
                <w:rFonts w:ascii="宋体" w:hAnsi="宋体" w:eastAsia="宋体" w:cs="宋体"/>
                <w:sz w:val="20"/>
                <w:szCs w:val="20"/>
                <w:lang w:eastAsia="en-US"/>
              </w:rPr>
            </w:pP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电码手册</w:t>
            </w:r>
            <w:r>
              <w:rPr>
                <w:rFonts w:hint="eastAsia" w:ascii="宋体" w:hAnsi="宋体" w:eastAsia="宋体" w:cs="宋体"/>
                <w:sz w:val="20"/>
                <w:szCs w:val="20"/>
                <w:lang w:eastAsia="zh-CN"/>
              </w:rPr>
              <w:t>》（</w:t>
            </w:r>
            <w:r>
              <w:rPr>
                <w:rFonts w:eastAsia="宋体" w:cs="Verdana"/>
                <w:color w:val="auto"/>
                <w:sz w:val="20"/>
                <w:szCs w:val="20"/>
              </w:rPr>
              <w:t>WMO-No. 306</w:t>
            </w:r>
            <w:r>
              <w:rPr>
                <w:rFonts w:hint="eastAsia" w:ascii="宋体" w:hAnsi="宋体" w:eastAsia="宋体" w:cs="宋体"/>
                <w:color w:val="auto"/>
                <w:sz w:val="20"/>
                <w:szCs w:val="20"/>
                <w:lang w:eastAsia="zh-CN"/>
              </w:rPr>
              <w:t>）</w:t>
            </w:r>
            <w:r>
              <w:rPr>
                <w:rFonts w:hint="eastAsia" w:ascii="宋体" w:hAnsi="宋体" w:eastAsia="宋体" w:cs="宋体"/>
                <w:color w:val="auto"/>
                <w:sz w:val="20"/>
                <w:szCs w:val="20"/>
                <w:lang w:val="en-US" w:eastAsia="zh-CN"/>
              </w:rPr>
              <w:t>第</w:t>
            </w:r>
            <w:r>
              <w:rPr>
                <w:sz w:val="22"/>
                <w:szCs w:val="22"/>
              </w:rPr>
              <w:fldChar w:fldCharType="begin"/>
            </w:r>
            <w:r>
              <w:rPr>
                <w:rFonts w:eastAsia="宋体" w:cs="Verdana"/>
                <w:sz w:val="20"/>
                <w:szCs w:val="20"/>
              </w:rPr>
              <w:instrText xml:space="preserve"> HYPERLINK "https://library.wmo.int/index.php?lvl=notice_display&amp;id=13617" </w:instrText>
            </w:r>
            <w:r>
              <w:rPr>
                <w:sz w:val="22"/>
                <w:szCs w:val="22"/>
              </w:rPr>
              <w:fldChar w:fldCharType="separate"/>
            </w:r>
            <w:r>
              <w:rPr>
                <w:rStyle w:val="204"/>
                <w:rFonts w:eastAsia="宋体" w:cs="Verdana"/>
                <w:i w:val="0"/>
                <w:sz w:val="20"/>
                <w:szCs w:val="20"/>
              </w:rPr>
              <w:t>I.1</w:t>
            </w:r>
            <w:r>
              <w:rPr>
                <w:rStyle w:val="204"/>
                <w:rFonts w:eastAsia="宋体" w:cs="Verdana"/>
                <w:i w:val="0"/>
                <w:sz w:val="22"/>
                <w:szCs w:val="22"/>
              </w:rPr>
              <w:fldChar w:fldCharType="end"/>
            </w:r>
            <w:r>
              <w:rPr>
                <w:rStyle w:val="204"/>
                <w:rFonts w:hint="eastAsia" w:ascii="宋体" w:hAnsi="宋体" w:eastAsia="宋体" w:cs="宋体"/>
                <w:i w:val="0"/>
                <w:sz w:val="20"/>
                <w:szCs w:val="20"/>
                <w:lang w:eastAsia="zh-CN"/>
              </w:rPr>
              <w:t>、</w:t>
            </w:r>
            <w:r>
              <w:rPr>
                <w:sz w:val="22"/>
                <w:szCs w:val="22"/>
              </w:rPr>
              <w:fldChar w:fldCharType="begin"/>
            </w:r>
            <w:r>
              <w:rPr>
                <w:rFonts w:eastAsia="宋体" w:cs="Verdana"/>
                <w:sz w:val="20"/>
                <w:szCs w:val="20"/>
              </w:rPr>
              <w:instrText xml:space="preserve"> HYPERLINK "https://library.wmo.int/index.php?lvl=notice_display&amp;id=10684" </w:instrText>
            </w:r>
            <w:r>
              <w:rPr>
                <w:sz w:val="22"/>
                <w:szCs w:val="22"/>
              </w:rPr>
              <w:fldChar w:fldCharType="separate"/>
            </w:r>
            <w:r>
              <w:rPr>
                <w:rStyle w:val="204"/>
                <w:rFonts w:eastAsia="宋体" w:cs="Verdana"/>
                <w:i w:val="0"/>
                <w:sz w:val="20"/>
                <w:szCs w:val="20"/>
              </w:rPr>
              <w:t>I.2</w:t>
            </w:r>
            <w:r>
              <w:rPr>
                <w:rStyle w:val="204"/>
                <w:rFonts w:eastAsia="宋体" w:cs="Verdana"/>
                <w:i w:val="0"/>
                <w:sz w:val="22"/>
                <w:szCs w:val="22"/>
              </w:rPr>
              <w:fldChar w:fldCharType="end"/>
            </w:r>
            <w:r>
              <w:rPr>
                <w:rFonts w:hint="eastAsia" w:ascii="宋体" w:hAnsi="宋体" w:eastAsia="宋体" w:cs="宋体"/>
                <w:sz w:val="20"/>
                <w:szCs w:val="20"/>
                <w:lang w:val="en-US" w:eastAsia="zh-CN"/>
              </w:rPr>
              <w:t>和</w:t>
            </w:r>
            <w:r>
              <w:rPr>
                <w:sz w:val="22"/>
                <w:szCs w:val="22"/>
              </w:rPr>
              <w:fldChar w:fldCharType="begin"/>
            </w:r>
            <w:r>
              <w:rPr>
                <w:rFonts w:eastAsia="宋体" w:cs="Verdana"/>
                <w:sz w:val="20"/>
                <w:szCs w:val="20"/>
              </w:rPr>
              <w:instrText xml:space="preserve"> HYPERLINK "https://library.wmo.int/index.php?lvl=notice_display&amp;id=19508" </w:instrText>
            </w:r>
            <w:r>
              <w:rPr>
                <w:sz w:val="22"/>
                <w:szCs w:val="22"/>
              </w:rPr>
              <w:fldChar w:fldCharType="separate"/>
            </w:r>
            <w:r>
              <w:rPr>
                <w:rStyle w:val="204"/>
                <w:rFonts w:eastAsia="宋体" w:cs="Verdana"/>
                <w:i w:val="0"/>
                <w:sz w:val="20"/>
                <w:szCs w:val="20"/>
              </w:rPr>
              <w:t>I.3</w:t>
            </w:r>
            <w:r>
              <w:rPr>
                <w:rStyle w:val="204"/>
                <w:rFonts w:eastAsia="宋体" w:cs="Verdana"/>
                <w:i w:val="0"/>
                <w:sz w:val="22"/>
                <w:szCs w:val="22"/>
              </w:rPr>
              <w:fldChar w:fldCharType="end"/>
            </w:r>
            <w:r>
              <w:rPr>
                <w:rStyle w:val="204"/>
                <w:rFonts w:hint="eastAsia" w:ascii="宋体" w:hAnsi="宋体" w:eastAsia="宋体" w:cs="宋体"/>
                <w:i w:val="0"/>
                <w:iCs/>
                <w:sz w:val="20"/>
                <w:szCs w:val="20"/>
                <w:lang w:val="en-US" w:eastAsia="zh-CN"/>
              </w:rPr>
              <w:t>卷</w:t>
            </w:r>
          </w:p>
          <w:p>
            <w:pPr>
              <w:spacing w:after="60"/>
              <w:rPr>
                <w:rFonts w:ascii="宋体" w:hAnsi="宋体" w:eastAsia="宋体" w:cs="宋体"/>
                <w:sz w:val="20"/>
                <w:szCs w:val="20"/>
                <w:lang w:eastAsia="en-US"/>
              </w:rPr>
            </w:pPr>
          </w:p>
          <w:p>
            <w:pPr>
              <w:spacing w:after="60"/>
              <w:rPr>
                <w:rFonts w:ascii="宋体" w:hAnsi="宋体" w:eastAsia="宋体" w:cs="宋体"/>
                <w:color w:val="auto"/>
                <w:sz w:val="20"/>
                <w:szCs w:val="20"/>
                <w:lang w:eastAsia="en-US"/>
              </w:rPr>
            </w:pPr>
            <w:r>
              <w:rPr>
                <w:sz w:val="22"/>
                <w:szCs w:val="22"/>
              </w:rPr>
              <w:fldChar w:fldCharType="begin"/>
            </w:r>
            <w:r>
              <w:rPr>
                <w:sz w:val="22"/>
                <w:szCs w:val="22"/>
              </w:rPr>
              <w:instrText xml:space="preserve"> HYPERLINK "https://library.wmo.int/index.php?lvl=notice_display&amp;id=9298" \l ".Y-eVrsdBybg" </w:instrText>
            </w:r>
            <w:r>
              <w:rPr>
                <w:sz w:val="22"/>
                <w:szCs w:val="22"/>
              </w:rPr>
              <w:fldChar w:fldCharType="separate"/>
            </w:r>
            <w:r>
              <w:rPr>
                <w:rStyle w:val="43"/>
                <w:rFonts w:hint="eastAsia" w:ascii="宋体" w:hAnsi="宋体" w:eastAsia="宋体" w:cs="宋体"/>
                <w:sz w:val="20"/>
                <w:szCs w:val="20"/>
                <w:lang w:eastAsia="zh-CN"/>
              </w:rPr>
              <w:t>《</w:t>
            </w:r>
            <w:r>
              <w:rPr>
                <w:rStyle w:val="43"/>
                <w:rFonts w:eastAsia="宋体" w:cs="Verdana"/>
                <w:sz w:val="20"/>
                <w:szCs w:val="20"/>
                <w:lang w:eastAsia="zh-CN"/>
              </w:rPr>
              <w:t>WMO</w:t>
            </w:r>
            <w:r>
              <w:rPr>
                <w:rStyle w:val="43"/>
                <w:rFonts w:hint="eastAsia" w:ascii="宋体" w:hAnsi="宋体" w:eastAsia="宋体" w:cs="宋体"/>
                <w:sz w:val="20"/>
                <w:szCs w:val="20"/>
                <w:lang w:eastAsia="zh-CN"/>
              </w:rPr>
              <w:t>信息系统手册》</w:t>
            </w:r>
            <w:r>
              <w:rPr>
                <w:rStyle w:val="43"/>
                <w:rFonts w:hint="eastAsia" w:ascii="宋体" w:hAnsi="宋体" w:eastAsia="宋体" w:cs="宋体"/>
                <w:sz w:val="20"/>
                <w:szCs w:val="20"/>
                <w:lang w:eastAsia="zh-CN"/>
              </w:rPr>
              <w:fldChar w:fldCharType="end"/>
            </w:r>
            <w:r>
              <w:rPr>
                <w:rStyle w:val="204"/>
                <w:rFonts w:hint="eastAsia" w:ascii="宋体" w:hAnsi="宋体" w:eastAsia="宋体" w:cs="宋体"/>
                <w:i w:val="0"/>
                <w:iCs/>
                <w:sz w:val="20"/>
                <w:szCs w:val="20"/>
                <w:lang w:val="en-US" w:eastAsia="zh-CN"/>
              </w:rPr>
              <w:t>（</w:t>
            </w:r>
            <w:r>
              <w:rPr>
                <w:rFonts w:eastAsia="宋体" w:cs="Verdana"/>
                <w:sz w:val="20"/>
                <w:szCs w:val="20"/>
              </w:rPr>
              <w:t>WMO</w:t>
            </w:r>
            <w:r>
              <w:rPr>
                <w:rFonts w:eastAsia="宋体" w:cs="Verdana"/>
                <w:sz w:val="20"/>
                <w:szCs w:val="20"/>
              </w:rPr>
              <w:noBreakHyphen/>
            </w:r>
            <w:r>
              <w:rPr>
                <w:rFonts w:eastAsia="宋体" w:cs="Verdana"/>
                <w:sz w:val="20"/>
                <w:szCs w:val="20"/>
              </w:rPr>
              <w:t>No. 1060</w:t>
            </w:r>
            <w:r>
              <w:rPr>
                <w:rFonts w:hint="eastAsia" w:ascii="宋体" w:hAnsi="宋体" w:eastAsia="宋体" w:cs="宋体"/>
                <w:sz w:val="20"/>
                <w:szCs w:val="20"/>
                <w:lang w:eastAsia="zh-CN"/>
              </w:rPr>
              <w:t>）</w:t>
            </w:r>
          </w:p>
          <w:p>
            <w:pPr>
              <w:spacing w:after="60"/>
              <w:rPr>
                <w:rFonts w:ascii="宋体" w:hAnsi="宋体" w:eastAsia="宋体" w:cs="宋体"/>
                <w:color w:val="auto"/>
                <w:sz w:val="20"/>
                <w:szCs w:val="20"/>
                <w:lang w:eastAsia="en-US"/>
              </w:rPr>
            </w:pPr>
          </w:p>
          <w:p>
            <w:pPr>
              <w:spacing w:after="60"/>
              <w:rPr>
                <w:rFonts w:ascii="宋体" w:hAnsi="宋体" w:eastAsia="宋体" w:cs="宋体"/>
                <w:color w:val="auto"/>
                <w:sz w:val="20"/>
                <w:szCs w:val="20"/>
                <w:lang w:eastAsia="en-US"/>
              </w:rPr>
            </w:pPr>
            <w:r>
              <w:rPr>
                <w:sz w:val="22"/>
                <w:szCs w:val="22"/>
              </w:rPr>
              <w:fldChar w:fldCharType="begin"/>
            </w:r>
            <w:r>
              <w:rPr>
                <w:sz w:val="22"/>
                <w:szCs w:val="22"/>
              </w:rPr>
              <w:instrText xml:space="preserve"> HYPERLINK "https://library.wmo.int/index.php?lvl=notice_display&amp;id=21811" \l ".Y-eWN8dBybg" </w:instrText>
            </w:r>
            <w:r>
              <w:rPr>
                <w:sz w:val="22"/>
                <w:szCs w:val="22"/>
              </w:rPr>
              <w:fldChar w:fldCharType="separate"/>
            </w:r>
            <w:r>
              <w:rPr>
                <w:rStyle w:val="43"/>
                <w:rFonts w:hint="eastAsia" w:ascii="宋体" w:hAnsi="宋体" w:eastAsia="宋体" w:cs="宋体"/>
                <w:sz w:val="20"/>
                <w:szCs w:val="20"/>
                <w:lang w:val="en-US" w:eastAsia="zh-CN"/>
              </w:rPr>
              <w:t>《全球电信系统手册》</w:t>
            </w:r>
            <w:r>
              <w:rPr>
                <w:rStyle w:val="43"/>
                <w:rFonts w:hint="eastAsia" w:ascii="宋体" w:hAnsi="宋体" w:eastAsia="宋体" w:cs="宋体"/>
                <w:sz w:val="20"/>
                <w:szCs w:val="20"/>
                <w:lang w:val="en-US" w:eastAsia="zh-CN"/>
              </w:rPr>
              <w:fldChar w:fldCharType="end"/>
            </w:r>
            <w:r>
              <w:rPr>
                <w:rFonts w:hint="eastAsia" w:ascii="宋体" w:hAnsi="宋体" w:eastAsia="宋体" w:cs="宋体"/>
                <w:sz w:val="20"/>
                <w:szCs w:val="20"/>
                <w:lang w:val="en-US" w:eastAsia="zh-CN"/>
              </w:rPr>
              <w:t>（</w:t>
            </w:r>
            <w:r>
              <w:rPr>
                <w:rFonts w:eastAsia="宋体" w:cs="Verdana"/>
                <w:sz w:val="20"/>
                <w:szCs w:val="20"/>
              </w:rPr>
              <w:t>WMO</w:t>
            </w:r>
            <w:r>
              <w:rPr>
                <w:rFonts w:eastAsia="宋体" w:cs="Verdana"/>
                <w:sz w:val="20"/>
                <w:szCs w:val="20"/>
              </w:rPr>
              <w:noBreakHyphen/>
            </w:r>
            <w:r>
              <w:rPr>
                <w:rFonts w:eastAsia="宋体" w:cs="Verdana"/>
                <w:sz w:val="20"/>
                <w:szCs w:val="20"/>
              </w:rPr>
              <w:t>No. 386</w:t>
            </w:r>
            <w:r>
              <w:rPr>
                <w:rFonts w:hint="eastAsia" w:ascii="宋体" w:hAnsi="宋体" w:eastAsia="宋体" w:cs="宋体"/>
                <w:sz w:val="20"/>
                <w:szCs w:val="20"/>
                <w:lang w:eastAsia="zh-CN"/>
              </w:rPr>
              <w:t>）</w:t>
            </w:r>
          </w:p>
          <w:p>
            <w:pPr>
              <w:spacing w:after="60"/>
              <w:rPr>
                <w:rFonts w:ascii="宋体" w:hAnsi="宋体" w:eastAsia="宋体" w:cs="宋体"/>
                <w:color w:val="auto"/>
                <w:sz w:val="20"/>
                <w:szCs w:val="20"/>
                <w:lang w:eastAsia="en-US"/>
              </w:rPr>
            </w:pPr>
          </w:p>
          <w:p>
            <w:pPr>
              <w:spacing w:after="60"/>
              <w:rPr>
                <w:rFonts w:ascii="宋体" w:hAnsi="宋体" w:eastAsia="宋体" w:cs="宋体"/>
                <w:color w:val="auto"/>
                <w:sz w:val="20"/>
                <w:szCs w:val="20"/>
                <w:lang w:eastAsia="zh-CN"/>
              </w:rPr>
            </w:pPr>
            <w:r>
              <w:rPr>
                <w:sz w:val="22"/>
                <w:szCs w:val="22"/>
              </w:rPr>
              <w:fldChar w:fldCharType="begin"/>
            </w:r>
            <w:r>
              <w:rPr>
                <w:sz w:val="22"/>
                <w:szCs w:val="22"/>
              </w:rPr>
              <w:instrText xml:space="preserve"> HYPERLINK "https://library.wmo.int/index.php?lvl=notice_display&amp;id=16300" \l ".Y-eYT8dBybg" </w:instrText>
            </w:r>
            <w:r>
              <w:rPr>
                <w:sz w:val="22"/>
                <w:szCs w:val="22"/>
              </w:rPr>
              <w:fldChar w:fldCharType="separate"/>
            </w:r>
            <w:r>
              <w:rPr>
                <w:rStyle w:val="43"/>
                <w:rFonts w:hint="eastAsia" w:ascii="宋体" w:hAnsi="宋体" w:eastAsia="宋体" w:cs="宋体"/>
                <w:sz w:val="20"/>
                <w:szCs w:val="20"/>
                <w:lang w:eastAsia="zh-CN"/>
              </w:rPr>
              <w:t>《气候数据管理系统规范》</w:t>
            </w:r>
            <w:r>
              <w:rPr>
                <w:rStyle w:val="43"/>
                <w:rFonts w:hint="eastAsia" w:ascii="宋体" w:hAnsi="宋体" w:eastAsia="宋体" w:cs="宋体"/>
                <w:sz w:val="20"/>
                <w:szCs w:val="20"/>
                <w:lang w:eastAsia="zh-CN"/>
              </w:rPr>
              <w:fldChar w:fldCharType="end"/>
            </w:r>
            <w:r>
              <w:rPr>
                <w:rFonts w:hint="eastAsia" w:ascii="宋体" w:hAnsi="宋体" w:eastAsia="宋体" w:cs="宋体"/>
                <w:color w:val="auto"/>
                <w:sz w:val="20"/>
                <w:szCs w:val="20"/>
                <w:lang w:eastAsia="zh-CN"/>
              </w:rPr>
              <w:t>（</w:t>
            </w:r>
            <w:r>
              <w:rPr>
                <w:rFonts w:eastAsia="宋体" w:cs="Verdana"/>
                <w:color w:val="auto"/>
                <w:sz w:val="20"/>
                <w:szCs w:val="20"/>
                <w:lang w:eastAsia="en-US"/>
              </w:rPr>
              <w:t>WMO</w:t>
            </w:r>
            <w:r>
              <w:rPr>
                <w:rFonts w:eastAsia="宋体" w:cs="Verdana"/>
                <w:color w:val="auto"/>
                <w:sz w:val="20"/>
                <w:szCs w:val="20"/>
                <w:lang w:eastAsia="en-US"/>
              </w:rPr>
              <w:noBreakHyphen/>
            </w:r>
            <w:r>
              <w:rPr>
                <w:rFonts w:eastAsia="宋体" w:cs="Verdana"/>
                <w:color w:val="auto"/>
                <w:sz w:val="20"/>
                <w:szCs w:val="20"/>
                <w:lang w:eastAsia="en-US"/>
              </w:rPr>
              <w:t>No. 1131</w:t>
            </w:r>
            <w:r>
              <w:rPr>
                <w:rFonts w:hint="eastAsia" w:ascii="宋体" w:hAnsi="宋体" w:eastAsia="宋体" w:cs="宋体"/>
                <w:color w:val="auto"/>
                <w:sz w:val="20"/>
                <w:szCs w:val="20"/>
                <w:lang w:eastAsia="zh-CN"/>
              </w:rPr>
              <w:t>）</w:t>
            </w:r>
          </w:p>
          <w:p>
            <w:pPr>
              <w:spacing w:after="60"/>
              <w:rPr>
                <w:rFonts w:ascii="宋体" w:hAnsi="宋体" w:eastAsia="宋体" w:cs="宋体"/>
                <w:color w:val="auto"/>
                <w:sz w:val="20"/>
                <w:szCs w:val="20"/>
                <w:lang w:eastAsia="en-US"/>
              </w:rPr>
            </w:pPr>
          </w:p>
        </w:tc>
      </w:tr>
    </w:tbl>
    <w:p>
      <w:pPr>
        <w:rPr>
          <w:rFonts w:eastAsia="Segoe UI" w:cs="Segoe UI"/>
          <w:b/>
          <w:bCs/>
          <w:color w:val="auto"/>
        </w:rPr>
      </w:pPr>
      <w:bookmarkStart w:id="41" w:name="_Toc1507739351"/>
      <w:bookmarkStart w:id="42" w:name="_Toc19566111"/>
      <w:bookmarkStart w:id="43" w:name="_Toc1497982143"/>
      <w:bookmarkStart w:id="44" w:name="_Toc107569112"/>
    </w:p>
    <w:bookmarkEnd w:id="41"/>
    <w:bookmarkEnd w:id="42"/>
    <w:bookmarkEnd w:id="43"/>
    <w:bookmarkEnd w:id="44"/>
    <w:p>
      <w:pPr>
        <w:spacing w:after="240" w:line="240" w:lineRule="exact"/>
        <w:rPr>
          <w:rFonts w:eastAsia="Segoe UI" w:cs="Segoe UI"/>
          <w:b/>
          <w:bCs/>
          <w:color w:val="auto"/>
        </w:rPr>
      </w:pPr>
      <w:r>
        <w:rPr>
          <w:rFonts w:hint="eastAsia" w:ascii="微软雅黑" w:hAnsi="微软雅黑" w:eastAsia="微软雅黑" w:cs="微软雅黑"/>
          <w:b/>
          <w:bCs/>
          <w:color w:val="auto"/>
        </w:rPr>
        <w:t>模块</w:t>
      </w:r>
      <w:r>
        <w:rPr>
          <w:rFonts w:eastAsia="Segoe UI" w:cs="Segoe UI"/>
          <w:b/>
          <w:bCs/>
          <w:color w:val="auto"/>
        </w:rPr>
        <w:t>4.</w:t>
      </w:r>
      <w:r>
        <w:rPr>
          <w:rFonts w:hint="eastAsia" w:ascii="微软雅黑" w:hAnsi="微软雅黑" w:eastAsia="微软雅黑" w:cs="微软雅黑"/>
          <w:b/>
          <w:bCs/>
          <w:color w:val="auto"/>
        </w:rPr>
        <w:t xml:space="preserve"> 人员能力发展</w:t>
      </w:r>
    </w:p>
    <w:p>
      <w:pPr>
        <w:spacing w:after="240" w:line="240" w:lineRule="exact"/>
        <w:rPr>
          <w:rFonts w:ascii="宋体" w:hAnsi="宋体" w:eastAsia="宋体" w:cs="宋体"/>
          <w:color w:val="auto"/>
          <w:lang w:eastAsia="zh-CN"/>
        </w:rPr>
      </w:pPr>
      <w:r>
        <w:rPr>
          <w:rFonts w:hint="eastAsia" w:ascii="宋体" w:hAnsi="宋体" w:eastAsia="宋体" w:cs="宋体"/>
          <w:color w:val="auto"/>
          <w:lang w:eastAsia="zh-CN"/>
        </w:rPr>
        <w:t>人员能力发展是实施</w:t>
      </w:r>
      <w:r>
        <w:rPr>
          <w:rFonts w:eastAsia="宋体" w:cs="Verdana"/>
          <w:color w:val="auto"/>
          <w:lang w:eastAsia="zh-CN"/>
        </w:rPr>
        <w:t>GBON</w:t>
      </w:r>
      <w:r>
        <w:rPr>
          <w:rFonts w:hint="eastAsia" w:ascii="宋体" w:hAnsi="宋体" w:eastAsia="宋体" w:cs="宋体"/>
          <w:color w:val="auto"/>
          <w:lang w:eastAsia="zh-CN"/>
        </w:rPr>
        <w:t>的支柱，对于确保观测网的可持续性至关重要。为运行现代化的观测基础设施，工作人员需要不断积累知识和技能，克服今后在网络运行方面的挑战。</w:t>
      </w:r>
    </w:p>
    <w:p>
      <w:pPr>
        <w:spacing w:after="240" w:line="240" w:lineRule="exact"/>
        <w:rPr>
          <w:rFonts w:ascii="宋体" w:hAnsi="宋体" w:eastAsia="宋体" w:cs="宋体"/>
          <w:color w:val="auto"/>
          <w:lang w:eastAsia="zh-CN"/>
        </w:rPr>
      </w:pPr>
      <w:r>
        <w:rPr>
          <w:rFonts w:hint="eastAsia" w:ascii="宋体" w:hAnsi="宋体" w:eastAsia="宋体" w:cs="宋体"/>
          <w:color w:val="auto"/>
          <w:lang w:eastAsia="zh-CN"/>
        </w:rPr>
        <w:t>会员评估人员能力差距，并设计缩小这些差距所需的能力发展活动。能力发展活动应针对技术人员，以维护现代化的观测基础设施；能力发展活动也针对高级管理层，以管理计划的长期战略实施工作。</w:t>
      </w:r>
    </w:p>
    <w:p>
      <w:pPr>
        <w:spacing w:after="240" w:line="240" w:lineRule="exact"/>
        <w:rPr>
          <w:rFonts w:ascii="宋体" w:hAnsi="宋体" w:eastAsia="宋体" w:cs="宋体"/>
          <w:color w:val="auto"/>
          <w:lang w:eastAsia="zh-CN"/>
        </w:rPr>
      </w:pPr>
      <w:r>
        <w:rPr>
          <w:rFonts w:hint="eastAsia" w:ascii="宋体" w:hAnsi="宋体" w:eastAsia="宋体" w:cs="宋体"/>
          <w:color w:val="auto"/>
          <w:lang w:eastAsia="zh-CN"/>
        </w:rPr>
        <w:t>人员专业知识和培训的类型取决于基础设施的设计和会员的人员能力差距。会员应一直维持生成和交换观测数据的基本能力。若选择私营部门作为合作伙伴，则要确保国家有专门知识和能力参与、监控和管理合同关系并控制所采购的服务。模块</w:t>
      </w:r>
      <w:r>
        <w:rPr>
          <w:rFonts w:eastAsia="宋体" w:cs="Verdana"/>
          <w:color w:val="auto"/>
          <w:lang w:eastAsia="zh-CN"/>
        </w:rPr>
        <w:t>4</w:t>
      </w:r>
      <w:r>
        <w:rPr>
          <w:rFonts w:hint="eastAsia" w:ascii="宋体" w:hAnsi="宋体" w:eastAsia="宋体" w:cs="宋体"/>
          <w:color w:val="auto"/>
          <w:lang w:eastAsia="zh-CN"/>
        </w:rPr>
        <w:t>的活动和输出见表</w:t>
      </w:r>
      <w:r>
        <w:rPr>
          <w:rFonts w:eastAsia="宋体" w:cs="Verdana"/>
          <w:color w:val="auto"/>
          <w:lang w:eastAsia="zh-CN"/>
        </w:rPr>
        <w:t>5.10</w:t>
      </w:r>
      <w:r>
        <w:rPr>
          <w:rFonts w:hint="eastAsia" w:ascii="宋体" w:hAnsi="宋体" w:eastAsia="宋体" w:cs="宋体"/>
          <w:color w:val="auto"/>
          <w:lang w:eastAsia="zh-CN"/>
        </w:rPr>
        <w:t>。</w:t>
      </w:r>
    </w:p>
    <w:p>
      <w:pPr>
        <w:spacing w:after="240" w:line="240" w:lineRule="exact"/>
        <w:jc w:val="center"/>
        <w:rPr>
          <w:b/>
          <w:bCs/>
          <w:lang w:eastAsia="zh-CN"/>
        </w:rPr>
      </w:pPr>
      <w:r>
        <w:rPr>
          <w:rFonts w:hint="eastAsia" w:ascii="微软雅黑" w:hAnsi="微软雅黑" w:eastAsia="微软雅黑" w:cs="微软雅黑"/>
          <w:b/>
          <w:bCs/>
          <w:lang w:val="en-US" w:eastAsia="zh-CN"/>
        </w:rPr>
        <w:t>表</w:t>
      </w:r>
      <w:r>
        <w:rPr>
          <w:b/>
          <w:bCs/>
          <w:lang w:eastAsia="zh-CN"/>
        </w:rPr>
        <w:t xml:space="preserve">5.10. </w:t>
      </w:r>
      <w:r>
        <w:rPr>
          <w:rFonts w:hint="eastAsia" w:ascii="微软雅黑" w:hAnsi="微软雅黑" w:eastAsia="微软雅黑" w:cs="微软雅黑"/>
          <w:b/>
          <w:bCs/>
          <w:lang w:eastAsia="zh-CN"/>
        </w:rPr>
        <w:t>模块</w:t>
      </w:r>
      <w:r>
        <w:rPr>
          <w:rFonts w:hint="eastAsia" w:ascii="微软雅黑" w:hAnsi="微软雅黑" w:eastAsia="微软雅黑" w:cs="微软雅黑"/>
          <w:b/>
          <w:bCs/>
          <w:lang w:val="en-US" w:eastAsia="zh-CN"/>
        </w:rPr>
        <w:t>4</w:t>
      </w:r>
      <w:r>
        <w:rPr>
          <w:rFonts w:hint="eastAsia" w:ascii="微软雅黑" w:hAnsi="微软雅黑" w:eastAsia="微软雅黑" w:cs="微软雅黑"/>
          <w:b/>
          <w:bCs/>
          <w:lang w:eastAsia="zh-CN"/>
        </w:rPr>
        <w:t>要求开展的活动和交付的产出</w:t>
      </w:r>
    </w:p>
    <w:tbl>
      <w:tblPr>
        <w:tblStyle w:val="368"/>
        <w:tblW w:w="5000" w:type="pct"/>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778"/>
        <w:gridCol w:w="2275"/>
        <w:gridCol w:w="3339"/>
        <w:gridCol w:w="3463"/>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480" w:hRule="atLeast"/>
          <w:tblHeader/>
        </w:trPr>
        <w:tc>
          <w:tcPr>
            <w:tcW w:w="778" w:type="dxa"/>
            <w:vMerge w:val="restart"/>
            <w:shd w:val="clear" w:color="auto" w:fill="F1F1F1" w:themeFill="background1" w:themeFillShade="F2"/>
            <w:vAlign w:val="center"/>
          </w:tcPr>
          <w:p>
            <w:pPr>
              <w:keepNext/>
              <w:keepLine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eastAsia="en-US"/>
              </w:rPr>
              <w:t>项目</w:t>
            </w:r>
          </w:p>
        </w:tc>
        <w:tc>
          <w:tcPr>
            <w:tcW w:w="2275" w:type="dxa"/>
            <w:vMerge w:val="restart"/>
            <w:shd w:val="clear" w:color="auto" w:fill="F1F1F1" w:themeFill="background1" w:themeFillShade="F2"/>
            <w:vAlign w:val="center"/>
          </w:tcPr>
          <w:p>
            <w:pPr>
              <w:keepNext/>
              <w:keepLine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val="en-US" w:eastAsia="zh-CN"/>
              </w:rPr>
              <w:t>活动</w:t>
            </w:r>
          </w:p>
        </w:tc>
        <w:tc>
          <w:tcPr>
            <w:tcW w:w="3339" w:type="dxa"/>
            <w:vMerge w:val="restart"/>
            <w:shd w:val="clear" w:color="auto" w:fill="F1F1F1" w:themeFill="background1" w:themeFillShade="F2"/>
            <w:vAlign w:val="center"/>
          </w:tcPr>
          <w:p>
            <w:pPr>
              <w:keepNext/>
              <w:keepLine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val="en-US" w:eastAsia="zh-CN"/>
              </w:rPr>
              <w:t>产出</w:t>
            </w:r>
          </w:p>
        </w:tc>
        <w:tc>
          <w:tcPr>
            <w:tcW w:w="3463" w:type="dxa"/>
            <w:vMerge w:val="restart"/>
            <w:shd w:val="clear" w:color="auto" w:fill="F1F1F1" w:themeFill="background1" w:themeFillShade="F2"/>
            <w:vAlign w:val="center"/>
          </w:tcPr>
          <w:p>
            <w:pPr>
              <w:keepNext/>
              <w:keepLines/>
              <w:tabs>
                <w:tab w:val="right" w:pos="2052"/>
              </w:tab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val="en-US" w:eastAsia="zh-CN"/>
              </w:rPr>
              <w:t>相关指导材料</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480" w:hRule="atLeast"/>
          <w:tblHeader/>
        </w:trPr>
        <w:tc>
          <w:tcPr>
            <w:tcW w:w="778" w:type="dxa"/>
            <w:vMerge w:val="continue"/>
            <w:shd w:val="clear" w:color="auto" w:fill="F1F1F1" w:themeFill="background1" w:themeFillShade="F2"/>
          </w:tcPr>
          <w:p>
            <w:pPr>
              <w:spacing w:before="60" w:after="60"/>
              <w:rPr>
                <w:rFonts w:eastAsia="Calibri" w:cs="Calibri"/>
                <w:color w:val="auto"/>
                <w:sz w:val="20"/>
                <w:szCs w:val="20"/>
                <w:lang w:eastAsia="en-US"/>
              </w:rPr>
            </w:pPr>
          </w:p>
        </w:tc>
        <w:tc>
          <w:tcPr>
            <w:tcW w:w="2275" w:type="dxa"/>
            <w:vMerge w:val="continue"/>
            <w:shd w:val="clear" w:color="auto" w:fill="F1F1F1" w:themeFill="background1" w:themeFillShade="F2"/>
          </w:tcPr>
          <w:p>
            <w:pPr>
              <w:spacing w:before="60" w:after="60"/>
              <w:rPr>
                <w:rFonts w:eastAsia="Calibri" w:cs="Calibri"/>
                <w:color w:val="auto"/>
                <w:sz w:val="20"/>
                <w:szCs w:val="20"/>
                <w:lang w:eastAsia="en-US"/>
              </w:rPr>
            </w:pPr>
          </w:p>
        </w:tc>
        <w:tc>
          <w:tcPr>
            <w:tcW w:w="3339" w:type="dxa"/>
            <w:vMerge w:val="continue"/>
            <w:shd w:val="clear" w:color="auto" w:fill="F1F1F1" w:themeFill="background1" w:themeFillShade="F2"/>
          </w:tcPr>
          <w:p>
            <w:pPr>
              <w:spacing w:before="60" w:after="60"/>
              <w:rPr>
                <w:rFonts w:eastAsia="Calibri" w:cs="Calibri"/>
                <w:color w:val="auto"/>
                <w:sz w:val="20"/>
                <w:szCs w:val="20"/>
                <w:lang w:eastAsia="en-US"/>
              </w:rPr>
            </w:pPr>
          </w:p>
        </w:tc>
        <w:tc>
          <w:tcPr>
            <w:tcW w:w="3463" w:type="dxa"/>
            <w:vMerge w:val="continue"/>
            <w:shd w:val="clear" w:color="auto" w:fill="F1F1F1" w:themeFill="background1" w:themeFillShade="F2"/>
          </w:tcPr>
          <w:p>
            <w:pPr>
              <w:spacing w:before="60" w:after="60"/>
              <w:rPr>
                <w:rFonts w:eastAsia="Calibri" w:cs="Calibri"/>
                <w:color w:val="auto"/>
                <w:sz w:val="20"/>
                <w:szCs w:val="20"/>
                <w:lang w:eastAsia="en-US"/>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778" w:type="dxa"/>
            <w:shd w:val="clear" w:color="auto" w:fill="auto"/>
          </w:tcPr>
          <w:p>
            <w:pPr>
              <w:spacing w:before="60" w:after="60"/>
              <w:rPr>
                <w:rFonts w:eastAsia="Segoe UI" w:cs="Segoe UI"/>
                <w:color w:val="auto"/>
                <w:sz w:val="20"/>
                <w:szCs w:val="20"/>
                <w:lang w:eastAsia="en-US"/>
              </w:rPr>
            </w:pPr>
            <w:r>
              <w:rPr>
                <w:rFonts w:eastAsia="Segoe UI" w:cs="Segoe UI"/>
                <w:color w:val="auto"/>
                <w:sz w:val="20"/>
                <w:szCs w:val="20"/>
                <w:lang w:eastAsia="en-US"/>
              </w:rPr>
              <w:t xml:space="preserve">4.1 </w:t>
            </w:r>
          </w:p>
        </w:tc>
        <w:tc>
          <w:tcPr>
            <w:tcW w:w="2275" w:type="dxa"/>
            <w:shd w:val="clear" w:color="auto" w:fill="auto"/>
          </w:tcPr>
          <w:p>
            <w:pPr>
              <w:spacing w:before="60" w:after="60"/>
              <w:rPr>
                <w:rFonts w:ascii="宋体" w:hAnsi="宋体" w:eastAsia="宋体" w:cs="宋体"/>
                <w:color w:val="auto"/>
                <w:sz w:val="20"/>
                <w:szCs w:val="20"/>
                <w:lang w:eastAsia="en-US"/>
              </w:rPr>
            </w:pPr>
            <w:r>
              <w:rPr>
                <w:rFonts w:hint="eastAsia" w:ascii="宋体" w:hAnsi="宋体" w:eastAsia="宋体" w:cs="宋体"/>
                <w:color w:val="auto"/>
                <w:sz w:val="20"/>
                <w:szCs w:val="20"/>
                <w:lang w:eastAsia="en-US"/>
              </w:rPr>
              <w:t>评估人员能力差距</w:t>
            </w:r>
          </w:p>
        </w:tc>
        <w:tc>
          <w:tcPr>
            <w:tcW w:w="3339" w:type="dxa"/>
            <w:shd w:val="clear" w:color="auto" w:fill="auto"/>
          </w:tcPr>
          <w:p>
            <w:pPr>
              <w:numPr>
                <w:ilvl w:val="0"/>
                <w:numId w:val="28"/>
              </w:num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技术人员、专家和管理层的技能、教育水平和能力差距</w:t>
            </w:r>
          </w:p>
        </w:tc>
        <w:tc>
          <w:tcPr>
            <w:tcW w:w="3463" w:type="dxa"/>
            <w:shd w:val="clear" w:color="auto" w:fill="auto"/>
          </w:tcPr>
          <w:p>
            <w:pPr>
              <w:spacing w:before="60" w:after="60"/>
              <w:rPr>
                <w:rFonts w:eastAsia="宋体" w:cs="Segoe UI"/>
                <w:color w:val="auto"/>
                <w:sz w:val="20"/>
                <w:szCs w:val="20"/>
                <w:lang w:eastAsia="zh-CN"/>
              </w:rPr>
            </w:pPr>
            <w:r>
              <w:rPr>
                <w:sz w:val="22"/>
                <w:szCs w:val="22"/>
              </w:rPr>
              <w:fldChar w:fldCharType="begin"/>
            </w:r>
            <w:r>
              <w:rPr>
                <w:sz w:val="22"/>
                <w:szCs w:val="22"/>
              </w:rPr>
              <w:instrText xml:space="preserve"> HYPERLINK "https://library.wmo.int/index.php?lvl=notice_display&amp;id=21506" \l ".Y-efEsdBybg" </w:instrText>
            </w:r>
            <w:r>
              <w:rPr>
                <w:sz w:val="22"/>
                <w:szCs w:val="22"/>
              </w:rPr>
              <w:fldChar w:fldCharType="separate"/>
            </w:r>
            <w:r>
              <w:rPr>
                <w:rStyle w:val="43"/>
                <w:rFonts w:hint="eastAsia" w:eastAsia="宋体"/>
                <w:sz w:val="20"/>
                <w:szCs w:val="20"/>
                <w:lang w:eastAsia="zh-CN"/>
              </w:rPr>
              <w:t>《胜任力指南》</w:t>
            </w:r>
            <w:r>
              <w:rPr>
                <w:rStyle w:val="43"/>
                <w:rFonts w:hint="eastAsia" w:eastAsia="宋体"/>
                <w:sz w:val="20"/>
                <w:szCs w:val="20"/>
                <w:lang w:eastAsia="zh-CN"/>
              </w:rPr>
              <w:fldChar w:fldCharType="end"/>
            </w:r>
            <w:r>
              <w:rPr>
                <w:rFonts w:hint="eastAsia" w:eastAsia="宋体" w:cs="Segoe UI"/>
                <w:color w:val="auto"/>
                <w:sz w:val="20"/>
                <w:szCs w:val="20"/>
                <w:lang w:eastAsia="zh-CN"/>
              </w:rPr>
              <w:t>（</w:t>
            </w:r>
            <w:r>
              <w:rPr>
                <w:rFonts w:eastAsia="Segoe UI" w:cs="Segoe UI"/>
                <w:color w:val="auto"/>
                <w:sz w:val="20"/>
                <w:szCs w:val="20"/>
                <w:lang w:eastAsia="en-US"/>
              </w:rPr>
              <w:t>WMO</w:t>
            </w:r>
            <w:r>
              <w:rPr>
                <w:rFonts w:eastAsia="Segoe UI" w:cs="Segoe UI"/>
                <w:color w:val="auto"/>
                <w:sz w:val="20"/>
                <w:szCs w:val="20"/>
                <w:lang w:eastAsia="en-US"/>
              </w:rPr>
              <w:noBreakHyphen/>
            </w:r>
            <w:r>
              <w:rPr>
                <w:rFonts w:eastAsia="Segoe UI" w:cs="Segoe UI"/>
                <w:color w:val="auto"/>
                <w:sz w:val="20"/>
                <w:szCs w:val="20"/>
                <w:lang w:eastAsia="en-US"/>
              </w:rPr>
              <w:t>No. 1205</w:t>
            </w:r>
            <w:r>
              <w:rPr>
                <w:rFonts w:hint="eastAsia" w:eastAsia="宋体" w:cs="Segoe UI"/>
                <w:color w:val="auto"/>
                <w:sz w:val="20"/>
                <w:szCs w:val="20"/>
                <w:lang w:eastAsia="zh-CN"/>
              </w:rPr>
              <w:t>）</w:t>
            </w:r>
          </w:p>
          <w:p>
            <w:pPr>
              <w:spacing w:before="60" w:after="60"/>
              <w:rPr>
                <w:rFonts w:eastAsia="Segoe UI" w:cs="Segoe UI"/>
                <w:color w:val="auto"/>
                <w:sz w:val="20"/>
                <w:szCs w:val="20"/>
                <w:lang w:eastAsia="en-US"/>
              </w:rPr>
            </w:pPr>
          </w:p>
          <w:p>
            <w:pPr>
              <w:spacing w:before="60" w:after="60"/>
              <w:rPr>
                <w:rFonts w:eastAsia="Segoe UI" w:cs="Segoe UI"/>
                <w:color w:val="auto"/>
                <w:sz w:val="20"/>
                <w:szCs w:val="20"/>
                <w:lang w:eastAsia="en-US"/>
              </w:rPr>
            </w:pPr>
            <w:r>
              <w:rPr>
                <w:sz w:val="22"/>
                <w:szCs w:val="22"/>
              </w:rPr>
              <w:fldChar w:fldCharType="begin"/>
            </w:r>
            <w:r>
              <w:rPr>
                <w:sz w:val="22"/>
                <w:szCs w:val="22"/>
              </w:rPr>
              <w:instrText xml:space="preserve"> HYPERLINK "https://library.wmo.int/index.php?lvl=notice_display&amp;id=15292" \l ".Y-efQMdBybg" </w:instrText>
            </w:r>
            <w:r>
              <w:rPr>
                <w:sz w:val="22"/>
                <w:szCs w:val="22"/>
              </w:rPr>
              <w:fldChar w:fldCharType="separate"/>
            </w:r>
            <w:r>
              <w:rPr>
                <w:rStyle w:val="43"/>
                <w:rFonts w:hint="eastAsia" w:ascii="宋体" w:hAnsi="宋体" w:eastAsia="宋体" w:cs="宋体"/>
                <w:sz w:val="20"/>
                <w:szCs w:val="20"/>
                <w:lang w:eastAsia="en-US"/>
              </w:rPr>
              <w:t>《气象、水文和气候服务培训员指南》</w:t>
            </w:r>
            <w:r>
              <w:rPr>
                <w:rStyle w:val="43"/>
                <w:rFonts w:hint="eastAsia" w:ascii="宋体" w:hAnsi="宋体" w:eastAsia="宋体" w:cs="宋体"/>
                <w:sz w:val="20"/>
                <w:szCs w:val="20"/>
                <w:lang w:eastAsia="en-US"/>
              </w:rPr>
              <w:fldChar w:fldCharType="end"/>
            </w:r>
            <w:r>
              <w:rPr>
                <w:rFonts w:hint="eastAsia" w:ascii="宋体" w:hAnsi="宋体" w:eastAsia="宋体" w:cs="宋体"/>
                <w:color w:val="auto"/>
                <w:sz w:val="20"/>
                <w:szCs w:val="20"/>
                <w:lang w:eastAsia="en-US"/>
              </w:rPr>
              <w:t>（</w:t>
            </w:r>
            <w:r>
              <w:rPr>
                <w:rFonts w:hint="eastAsia" w:eastAsia="Segoe UI" w:cs="Segoe UI"/>
                <w:color w:val="auto"/>
                <w:sz w:val="20"/>
                <w:szCs w:val="20"/>
                <w:lang w:eastAsia="en-US"/>
              </w:rPr>
              <w:t>WMO‑ No. 1114</w:t>
            </w:r>
            <w:r>
              <w:rPr>
                <w:rFonts w:hint="eastAsia" w:ascii="宋体" w:hAnsi="宋体" w:eastAsia="宋体" w:cs="宋体"/>
                <w:color w:val="auto"/>
                <w:sz w:val="20"/>
                <w:szCs w:val="20"/>
                <w:lang w:eastAsia="en-U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778" w:type="dxa"/>
            <w:shd w:val="clear" w:color="auto" w:fill="auto"/>
          </w:tcPr>
          <w:p>
            <w:pPr>
              <w:spacing w:before="60" w:after="60"/>
              <w:rPr>
                <w:rFonts w:eastAsia="Segoe UI" w:cs="Segoe UI"/>
                <w:color w:val="auto"/>
                <w:sz w:val="20"/>
                <w:szCs w:val="20"/>
                <w:lang w:eastAsia="en-US"/>
              </w:rPr>
            </w:pPr>
            <w:r>
              <w:rPr>
                <w:rFonts w:eastAsia="Segoe UI" w:cs="Segoe UI"/>
                <w:color w:val="auto"/>
                <w:sz w:val="20"/>
                <w:szCs w:val="20"/>
                <w:lang w:eastAsia="en-US"/>
              </w:rPr>
              <w:t>4.2</w:t>
            </w:r>
          </w:p>
        </w:tc>
        <w:tc>
          <w:tcPr>
            <w:tcW w:w="2275" w:type="dxa"/>
            <w:shd w:val="clear" w:color="auto" w:fill="auto"/>
          </w:tcPr>
          <w:p>
            <w:p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为技术人员设计能力发展活动</w:t>
            </w:r>
          </w:p>
        </w:tc>
        <w:tc>
          <w:tcPr>
            <w:tcW w:w="3339" w:type="dxa"/>
            <w:shd w:val="clear" w:color="auto" w:fill="auto"/>
          </w:tcPr>
          <w:p>
            <w:pPr>
              <w:numPr>
                <w:ilvl w:val="0"/>
                <w:numId w:val="29"/>
              </w:numPr>
              <w:spacing w:before="60" w:after="60"/>
              <w:rPr>
                <w:rFonts w:ascii="宋体" w:hAnsi="宋体" w:eastAsia="宋体" w:cs="宋体"/>
                <w:color w:val="auto"/>
                <w:sz w:val="20"/>
                <w:szCs w:val="20"/>
                <w:lang w:eastAsia="zh-CN"/>
              </w:rPr>
            </w:pPr>
            <w:bookmarkStart w:id="45" w:name="OLE_LINK10"/>
            <w:r>
              <w:rPr>
                <w:rFonts w:hint="eastAsia" w:ascii="宋体" w:hAnsi="宋体" w:eastAsia="宋体" w:cs="宋体"/>
                <w:color w:val="auto"/>
                <w:sz w:val="20"/>
                <w:szCs w:val="20"/>
                <w:lang w:eastAsia="zh-CN"/>
              </w:rPr>
              <w:t>技术人员需</w:t>
            </w:r>
            <w:r>
              <w:rPr>
                <w:rFonts w:hint="eastAsia" w:ascii="宋体" w:hAnsi="宋体" w:eastAsia="宋体" w:cs="宋体"/>
                <w:color w:val="auto"/>
                <w:sz w:val="20"/>
                <w:szCs w:val="20"/>
                <w:lang w:val="en-US" w:eastAsia="zh-CN"/>
              </w:rPr>
              <w:t>要接受以下方面的</w:t>
            </w:r>
            <w:r>
              <w:rPr>
                <w:rFonts w:hint="eastAsia" w:ascii="宋体" w:hAnsi="宋体" w:eastAsia="宋体" w:cs="宋体"/>
                <w:color w:val="auto"/>
                <w:sz w:val="20"/>
                <w:szCs w:val="20"/>
                <w:lang w:eastAsia="zh-CN"/>
              </w:rPr>
              <w:t>培训：</w:t>
            </w:r>
          </w:p>
          <w:p>
            <w:pPr>
              <w:numPr>
                <w:ilvl w:val="0"/>
                <w:numId w:val="30"/>
              </w:num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现场仪表及台站维护；</w:t>
            </w:r>
          </w:p>
          <w:p>
            <w:pPr>
              <w:numPr>
                <w:ilvl w:val="0"/>
                <w:numId w:val="30"/>
              </w:num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在车间进行校准和维护；</w:t>
            </w:r>
          </w:p>
          <w:p>
            <w:pPr>
              <w:numPr>
                <w:ilvl w:val="0"/>
                <w:numId w:val="30"/>
              </w:numPr>
              <w:spacing w:before="60" w:after="60"/>
              <w:rPr>
                <w:rFonts w:ascii="宋体" w:hAnsi="宋体" w:eastAsia="宋体" w:cs="宋体"/>
                <w:color w:val="auto"/>
                <w:sz w:val="20"/>
                <w:szCs w:val="20"/>
                <w:lang w:eastAsia="en-US"/>
              </w:rPr>
            </w:pPr>
            <w:r>
              <w:rPr>
                <w:rFonts w:hint="eastAsia" w:ascii="宋体" w:hAnsi="宋体" w:eastAsia="宋体" w:cs="宋体"/>
                <w:color w:val="auto"/>
                <w:sz w:val="20"/>
                <w:szCs w:val="20"/>
                <w:lang w:eastAsia="en-US"/>
              </w:rPr>
              <w:t>网络监测；</w:t>
            </w:r>
          </w:p>
          <w:bookmarkEnd w:id="45"/>
          <w:p>
            <w:pPr>
              <w:numPr>
                <w:ilvl w:val="0"/>
                <w:numId w:val="30"/>
              </w:numPr>
              <w:spacing w:before="60" w:after="60"/>
              <w:rPr>
                <w:rFonts w:ascii="宋体" w:hAnsi="宋体" w:eastAsia="宋体" w:cs="宋体"/>
                <w:color w:val="auto"/>
                <w:sz w:val="20"/>
                <w:szCs w:val="20"/>
                <w:lang w:eastAsia="en-US"/>
              </w:rPr>
            </w:pPr>
            <w:r>
              <w:rPr>
                <w:rFonts w:eastAsia="宋体" w:cs="宋体"/>
                <w:color w:val="auto"/>
                <w:sz w:val="20"/>
                <w:szCs w:val="20"/>
                <w:lang w:eastAsia="en-US"/>
              </w:rPr>
              <w:t>ICT</w:t>
            </w:r>
            <w:r>
              <w:rPr>
                <w:rFonts w:hint="eastAsia" w:ascii="宋体" w:hAnsi="宋体" w:eastAsia="宋体" w:cs="宋体"/>
                <w:color w:val="auto"/>
                <w:sz w:val="20"/>
                <w:szCs w:val="20"/>
                <w:lang w:eastAsia="en-US"/>
              </w:rPr>
              <w:t>系统运行</w:t>
            </w:r>
          </w:p>
        </w:tc>
        <w:tc>
          <w:tcPr>
            <w:tcW w:w="3463" w:type="dxa"/>
            <w:shd w:val="clear" w:color="auto" w:fill="auto"/>
          </w:tcPr>
          <w:p>
            <w:pPr>
              <w:spacing w:before="60" w:after="60"/>
              <w:rPr>
                <w:rFonts w:eastAsia="Segoe UI" w:cs="Segoe UI"/>
                <w:color w:val="auto"/>
                <w:sz w:val="20"/>
                <w:szCs w:val="20"/>
                <w:lang w:eastAsia="en-US"/>
              </w:rPr>
            </w:pPr>
            <w:r>
              <w:rPr>
                <w:sz w:val="22"/>
                <w:szCs w:val="22"/>
              </w:rPr>
              <w:fldChar w:fldCharType="begin"/>
            </w:r>
            <w:r>
              <w:rPr>
                <w:sz w:val="22"/>
                <w:szCs w:val="22"/>
              </w:rPr>
              <w:instrText xml:space="preserve"> HYPERLINK "https://library.wmo.int/index.php?lvl=notice_display&amp;id=10770" \l ".Y-ef4MdBybg" </w:instrText>
            </w:r>
            <w:r>
              <w:rPr>
                <w:sz w:val="22"/>
                <w:szCs w:val="22"/>
              </w:rPr>
              <w:fldChar w:fldCharType="separate"/>
            </w:r>
            <w:r>
              <w:rPr>
                <w:rStyle w:val="43"/>
                <w:rFonts w:hint="eastAsia" w:eastAsia="宋体" w:cs="Segoe UI"/>
                <w:sz w:val="20"/>
                <w:szCs w:val="20"/>
                <w:lang w:eastAsia="zh-CN"/>
              </w:rPr>
              <w:t>《气象和水文教育和培训标准实施指南》</w:t>
            </w:r>
            <w:r>
              <w:rPr>
                <w:rStyle w:val="43"/>
                <w:rFonts w:hint="eastAsia" w:eastAsia="宋体" w:cs="Segoe UI"/>
                <w:sz w:val="20"/>
                <w:szCs w:val="20"/>
                <w:lang w:eastAsia="zh-CN"/>
              </w:rPr>
              <w:fldChar w:fldCharType="end"/>
            </w:r>
            <w:r>
              <w:rPr>
                <w:rFonts w:hint="eastAsia" w:eastAsia="宋体" w:cs="Segoe UI"/>
                <w:color w:val="auto"/>
                <w:sz w:val="20"/>
                <w:szCs w:val="20"/>
                <w:lang w:eastAsia="zh-CN"/>
              </w:rPr>
              <w:t>（</w:t>
            </w:r>
            <w:r>
              <w:rPr>
                <w:rFonts w:eastAsia="Segoe UI" w:cs="Segoe UI"/>
                <w:color w:val="auto"/>
                <w:sz w:val="20"/>
                <w:szCs w:val="20"/>
                <w:lang w:eastAsia="en-US"/>
              </w:rPr>
              <w:t>WMO–No. 1083</w:t>
            </w:r>
            <w:r>
              <w:rPr>
                <w:rFonts w:hint="eastAsia" w:eastAsia="宋体" w:cs="Segoe UI"/>
                <w:color w:val="auto"/>
                <w:sz w:val="20"/>
                <w:szCs w:val="20"/>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778" w:type="dxa"/>
            <w:shd w:val="clear" w:color="auto" w:fill="auto"/>
          </w:tcPr>
          <w:p>
            <w:pPr>
              <w:spacing w:before="60" w:after="60"/>
              <w:rPr>
                <w:rFonts w:eastAsia="Segoe UI" w:cs="Segoe UI"/>
                <w:color w:val="auto"/>
                <w:sz w:val="20"/>
                <w:szCs w:val="20"/>
                <w:lang w:eastAsia="en-US"/>
              </w:rPr>
            </w:pPr>
            <w:r>
              <w:rPr>
                <w:rFonts w:eastAsia="Segoe UI" w:cs="Segoe UI"/>
                <w:color w:val="auto"/>
                <w:sz w:val="20"/>
                <w:szCs w:val="20"/>
                <w:lang w:eastAsia="en-US"/>
              </w:rPr>
              <w:t>4.3</w:t>
            </w:r>
          </w:p>
        </w:tc>
        <w:tc>
          <w:tcPr>
            <w:tcW w:w="2275" w:type="dxa"/>
            <w:shd w:val="clear" w:color="auto" w:fill="auto"/>
          </w:tcPr>
          <w:p>
            <w:p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为高级管理层设计能力发展活动</w:t>
            </w:r>
          </w:p>
        </w:tc>
        <w:tc>
          <w:tcPr>
            <w:tcW w:w="3339" w:type="dxa"/>
            <w:shd w:val="clear" w:color="auto" w:fill="auto"/>
          </w:tcPr>
          <w:p>
            <w:pPr>
              <w:numPr>
                <w:ilvl w:val="0"/>
                <w:numId w:val="31"/>
              </w:numPr>
              <w:spacing w:before="60" w:after="60"/>
              <w:ind w:right="-93"/>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管理层需</w:t>
            </w:r>
            <w:r>
              <w:rPr>
                <w:rFonts w:hint="eastAsia" w:ascii="宋体" w:hAnsi="宋体" w:eastAsia="宋体" w:cs="宋体"/>
                <w:color w:val="auto"/>
                <w:sz w:val="20"/>
                <w:szCs w:val="20"/>
                <w:lang w:val="en-US" w:eastAsia="zh-CN"/>
              </w:rPr>
              <w:t>要接受以下方面的</w:t>
            </w:r>
            <w:r>
              <w:rPr>
                <w:rFonts w:hint="eastAsia" w:ascii="宋体" w:hAnsi="宋体" w:eastAsia="宋体" w:cs="宋体"/>
                <w:color w:val="auto"/>
                <w:sz w:val="20"/>
                <w:szCs w:val="20"/>
                <w:lang w:eastAsia="zh-CN"/>
              </w:rPr>
              <w:t>培训：</w:t>
            </w:r>
          </w:p>
          <w:p>
            <w:pPr>
              <w:numPr>
                <w:ilvl w:val="0"/>
                <w:numId w:val="32"/>
              </w:numPr>
              <w:spacing w:before="60" w:after="60"/>
              <w:ind w:right="-93"/>
              <w:rPr>
                <w:rFonts w:ascii="宋体" w:hAnsi="宋体" w:eastAsia="宋体" w:cs="宋体"/>
                <w:color w:val="auto"/>
                <w:sz w:val="20"/>
                <w:szCs w:val="20"/>
                <w:lang w:eastAsia="en-US"/>
              </w:rPr>
            </w:pPr>
            <w:r>
              <w:rPr>
                <w:rFonts w:hint="eastAsia" w:ascii="宋体" w:hAnsi="宋体" w:eastAsia="宋体" w:cs="宋体"/>
                <w:color w:val="auto"/>
                <w:sz w:val="20"/>
                <w:szCs w:val="20"/>
                <w:lang w:eastAsia="en-US"/>
              </w:rPr>
              <w:t xml:space="preserve">战略和财务规划； </w:t>
            </w:r>
          </w:p>
          <w:p>
            <w:pPr>
              <w:numPr>
                <w:ilvl w:val="0"/>
                <w:numId w:val="32"/>
              </w:numPr>
              <w:spacing w:before="60" w:after="60"/>
              <w:ind w:right="-93"/>
              <w:rPr>
                <w:rFonts w:ascii="宋体" w:hAnsi="宋体" w:eastAsia="宋体" w:cs="宋体"/>
                <w:color w:val="auto"/>
                <w:sz w:val="20"/>
                <w:szCs w:val="20"/>
                <w:lang w:eastAsia="en-US"/>
              </w:rPr>
            </w:pPr>
            <w:r>
              <w:rPr>
                <w:rFonts w:hint="eastAsia" w:ascii="宋体" w:hAnsi="宋体" w:eastAsia="宋体" w:cs="宋体"/>
                <w:color w:val="auto"/>
                <w:sz w:val="20"/>
                <w:szCs w:val="20"/>
                <w:lang w:eastAsia="en-US"/>
              </w:rPr>
              <w:t>项目管理</w:t>
            </w:r>
          </w:p>
        </w:tc>
        <w:tc>
          <w:tcPr>
            <w:tcW w:w="3463" w:type="dxa"/>
            <w:shd w:val="clear" w:color="auto" w:fill="auto"/>
          </w:tcPr>
          <w:p>
            <w:pPr>
              <w:spacing w:before="60" w:after="60"/>
              <w:rPr>
                <w:rFonts w:eastAsia="Segoe UI" w:cs="Segoe UI"/>
                <w:color w:val="auto"/>
                <w:sz w:val="20"/>
                <w:szCs w:val="20"/>
                <w:lang w:eastAsia="zh-CN"/>
              </w:rPr>
            </w:pPr>
            <w:r>
              <w:rPr>
                <w:sz w:val="22"/>
                <w:szCs w:val="22"/>
              </w:rPr>
              <w:fldChar w:fldCharType="begin"/>
            </w:r>
            <w:r>
              <w:rPr>
                <w:sz w:val="22"/>
                <w:szCs w:val="22"/>
              </w:rPr>
              <w:instrText xml:space="preserve"> HYPERLINK "https://library.wmo.int/index.php?lvl=notice_display&amp;id=15227" \l ".Y-ehc8dBybg" </w:instrText>
            </w:r>
            <w:r>
              <w:rPr>
                <w:sz w:val="22"/>
                <w:szCs w:val="22"/>
              </w:rPr>
              <w:fldChar w:fldCharType="separate"/>
            </w:r>
            <w:r>
              <w:rPr>
                <w:rStyle w:val="43"/>
                <w:rFonts w:hint="eastAsia" w:eastAsia="宋体" w:cs="Segoe UI"/>
                <w:sz w:val="20"/>
                <w:szCs w:val="20"/>
                <w:lang w:eastAsia="zh-CN"/>
              </w:rPr>
              <w:t>《WMO奖学金申请指导方针》</w:t>
            </w:r>
            <w:r>
              <w:rPr>
                <w:rStyle w:val="43"/>
                <w:rFonts w:hint="eastAsia" w:eastAsia="宋体" w:cs="Segoe UI"/>
                <w:sz w:val="20"/>
                <w:szCs w:val="20"/>
                <w:lang w:eastAsia="zh-CN"/>
              </w:rPr>
              <w:fldChar w:fldCharType="end"/>
            </w:r>
            <w:r>
              <w:rPr>
                <w:rFonts w:hint="eastAsia" w:eastAsia="宋体" w:cs="Segoe UI"/>
                <w:color w:val="auto"/>
                <w:sz w:val="20"/>
                <w:szCs w:val="20"/>
                <w:lang w:eastAsia="zh-CN"/>
              </w:rPr>
              <w:t>（</w:t>
            </w:r>
            <w:r>
              <w:rPr>
                <w:rFonts w:eastAsia="Segoe UI" w:cs="Segoe UI"/>
                <w:color w:val="auto"/>
                <w:sz w:val="20"/>
                <w:szCs w:val="20"/>
                <w:lang w:eastAsia="zh-CN"/>
              </w:rPr>
              <w:t>WMO</w:t>
            </w:r>
            <w:r>
              <w:rPr>
                <w:rFonts w:eastAsia="Segoe UI" w:cs="Segoe UI"/>
                <w:color w:val="auto"/>
                <w:sz w:val="20"/>
                <w:szCs w:val="20"/>
                <w:lang w:eastAsia="zh-CN"/>
              </w:rPr>
              <w:noBreakHyphen/>
            </w:r>
            <w:r>
              <w:rPr>
                <w:rFonts w:eastAsia="Segoe UI" w:cs="Segoe UI"/>
                <w:color w:val="auto"/>
                <w:sz w:val="20"/>
                <w:szCs w:val="20"/>
                <w:lang w:eastAsia="zh-CN"/>
              </w:rPr>
              <w:t>No. 1104</w:t>
            </w:r>
            <w:r>
              <w:rPr>
                <w:rFonts w:hint="eastAsia" w:eastAsia="宋体" w:cs="Segoe UI"/>
                <w:color w:val="auto"/>
                <w:sz w:val="20"/>
                <w:szCs w:val="20"/>
                <w:lang w:eastAsia="zh-CN"/>
              </w:rPr>
              <w:t>）</w:t>
            </w:r>
          </w:p>
          <w:p>
            <w:pPr>
              <w:spacing w:before="60" w:after="60"/>
              <w:rPr>
                <w:rFonts w:eastAsia="Segoe UI" w:cs="Segoe UI"/>
                <w:color w:val="auto"/>
                <w:sz w:val="20"/>
                <w:szCs w:val="20"/>
                <w:lang w:eastAsia="zh-CN"/>
              </w:rPr>
            </w:pPr>
          </w:p>
          <w:p>
            <w:pPr>
              <w:spacing w:before="60" w:after="60"/>
              <w:rPr>
                <w:rFonts w:eastAsia="Segoe UI" w:cs="Segoe UI"/>
                <w:color w:val="auto"/>
                <w:sz w:val="20"/>
                <w:szCs w:val="20"/>
                <w:lang w:eastAsia="zh-CN"/>
              </w:rPr>
            </w:pPr>
            <w:r>
              <w:rPr>
                <w:sz w:val="22"/>
                <w:szCs w:val="22"/>
              </w:rPr>
              <w:fldChar w:fldCharType="begin"/>
            </w:r>
            <w:r>
              <w:rPr>
                <w:sz w:val="22"/>
                <w:szCs w:val="22"/>
              </w:rPr>
              <w:instrText xml:space="preserve"> HYPERLINK "https://library.wmo.int/index.php?lvl=notice_display&amp;id=20744" \l ".Y-ehr8dBybg" </w:instrText>
            </w:r>
            <w:r>
              <w:rPr>
                <w:sz w:val="22"/>
                <w:szCs w:val="22"/>
              </w:rPr>
              <w:fldChar w:fldCharType="separate"/>
            </w:r>
            <w:r>
              <w:rPr>
                <w:rStyle w:val="43"/>
                <w:rFonts w:ascii="Times New Roman" w:hAnsi="Times New Roman" w:eastAsia="宋体" w:cs="Times New Roman"/>
                <w:sz w:val="20"/>
                <w:szCs w:val="20"/>
                <w:shd w:val="clear" w:color="auto" w:fill="FFFFFF"/>
                <w:lang w:eastAsia="zh-CN"/>
              </w:rPr>
              <w:t>《支持国家气象和水文部门管理层发展的专题概要》</w:t>
            </w:r>
            <w:r>
              <w:rPr>
                <w:rStyle w:val="43"/>
                <w:rFonts w:ascii="Times New Roman" w:hAnsi="Times New Roman" w:eastAsia="宋体" w:cs="Times New Roman"/>
                <w:sz w:val="20"/>
                <w:szCs w:val="20"/>
                <w:shd w:val="clear" w:color="auto" w:fill="FFFFFF"/>
                <w:lang w:eastAsia="zh-CN"/>
              </w:rPr>
              <w:fldChar w:fldCharType="end"/>
            </w:r>
            <w:r>
              <w:rPr>
                <w:rFonts w:hint="eastAsia" w:eastAsia="宋体" w:cs="Segoe UI"/>
                <w:color w:val="auto"/>
                <w:sz w:val="20"/>
                <w:szCs w:val="20"/>
                <w:lang w:eastAsia="zh-CN"/>
              </w:rPr>
              <w:t>（</w:t>
            </w:r>
            <w:r>
              <w:rPr>
                <w:rFonts w:eastAsia="Segoe UI" w:cs="Segoe UI"/>
                <w:color w:val="auto"/>
                <w:sz w:val="20"/>
                <w:szCs w:val="20"/>
                <w:lang w:eastAsia="zh-CN"/>
              </w:rPr>
              <w:t>ETR</w:t>
            </w:r>
            <w:r>
              <w:rPr>
                <w:rFonts w:eastAsia="Segoe UI" w:cs="Segoe UI"/>
                <w:color w:val="auto"/>
                <w:sz w:val="20"/>
                <w:szCs w:val="20"/>
                <w:lang w:eastAsia="zh-CN"/>
              </w:rPr>
              <w:noBreakHyphen/>
            </w:r>
            <w:r>
              <w:rPr>
                <w:rFonts w:eastAsia="Segoe UI" w:cs="Segoe UI"/>
                <w:color w:val="auto"/>
                <w:sz w:val="20"/>
                <w:szCs w:val="20"/>
                <w:lang w:eastAsia="zh-CN"/>
              </w:rPr>
              <w:t>No. 24</w:t>
            </w:r>
            <w:r>
              <w:rPr>
                <w:rFonts w:hint="eastAsia" w:eastAsia="宋体" w:cs="Segoe UI"/>
                <w:color w:val="auto"/>
                <w:sz w:val="20"/>
                <w:szCs w:val="20"/>
                <w:lang w:eastAsia="zh-CN"/>
              </w:rPr>
              <w:t>）</w:t>
            </w:r>
          </w:p>
        </w:tc>
      </w:tr>
    </w:tbl>
    <w:p>
      <w:pPr>
        <w:spacing w:before="240" w:after="120"/>
        <w:rPr>
          <w:rFonts w:eastAsia="Calibri"/>
          <w:color w:val="auto"/>
          <w:lang w:eastAsia="zh-CN"/>
        </w:rPr>
      </w:pPr>
      <w:r>
        <w:rPr>
          <w:rFonts w:hint="eastAsia" w:ascii="微软雅黑" w:hAnsi="微软雅黑" w:eastAsia="微软雅黑" w:cs="微软雅黑"/>
          <w:b/>
          <w:bCs/>
          <w:color w:val="auto"/>
          <w:lang w:eastAsia="zh-CN"/>
        </w:rPr>
        <w:t>模块</w:t>
      </w:r>
      <w:r>
        <w:rPr>
          <w:rFonts w:eastAsia="Segoe UI" w:cs="Segoe UI"/>
          <w:b/>
          <w:bCs/>
          <w:color w:val="auto"/>
          <w:lang w:eastAsia="zh-CN"/>
        </w:rPr>
        <w:t xml:space="preserve">5. </w:t>
      </w:r>
      <w:r>
        <w:rPr>
          <w:rFonts w:hint="eastAsia" w:ascii="微软雅黑" w:hAnsi="微软雅黑" w:eastAsia="微软雅黑" w:cs="微软雅黑"/>
          <w:b/>
          <w:bCs/>
          <w:color w:val="auto"/>
          <w:lang w:eastAsia="zh-CN"/>
        </w:rPr>
        <w:t>风险管理</w:t>
      </w:r>
    </w:p>
    <w:p>
      <w:pPr>
        <w:spacing w:after="200"/>
        <w:rPr>
          <w:rFonts w:ascii="宋体" w:hAnsi="宋体" w:eastAsia="宋体" w:cs="宋体"/>
          <w:color w:val="auto"/>
          <w:lang w:eastAsia="zh-CN"/>
        </w:rPr>
      </w:pPr>
      <w:r>
        <w:rPr>
          <w:rFonts w:hint="eastAsia" w:ascii="宋体" w:hAnsi="宋体" w:eastAsia="宋体" w:cs="宋体"/>
          <w:color w:val="auto"/>
          <w:lang w:eastAsia="zh-CN"/>
        </w:rPr>
        <w:t>前瞻性风险管理活动是指预想偏离计划的情况并采取缓解措施，以便在存在风险的情况下实现目标。一旦风险成为现实，可能会使基础设施无法满足具体要求，也无法成功实施和持续运行现代化观测基础设施。</w:t>
      </w:r>
    </w:p>
    <w:p>
      <w:pPr>
        <w:spacing w:after="120"/>
        <w:rPr>
          <w:rFonts w:ascii="宋体" w:hAnsi="宋体" w:eastAsia="宋体" w:cs="宋体"/>
          <w:color w:val="auto"/>
          <w:lang w:eastAsia="zh-CN"/>
        </w:rPr>
      </w:pPr>
      <w:r>
        <w:rPr>
          <w:rFonts w:hint="eastAsia" w:ascii="宋体" w:hAnsi="宋体" w:eastAsia="宋体" w:cs="宋体"/>
          <w:color w:val="auto"/>
          <w:lang w:eastAsia="zh-CN"/>
        </w:rPr>
        <w:t>会员应评估与计划实施相关性最大和可能性最高的业务风险，并提出缓解措施。为此，风险和控制矩阵应包括以下内容：</w:t>
      </w:r>
    </w:p>
    <w:p>
      <w:pPr>
        <w:numPr>
          <w:ilvl w:val="0"/>
          <w:numId w:val="33"/>
        </w:numPr>
        <w:tabs>
          <w:tab w:val="clear" w:pos="720"/>
        </w:tabs>
        <w:spacing w:after="120"/>
        <w:ind w:left="1134" w:hanging="567"/>
        <w:rPr>
          <w:rFonts w:ascii="宋体" w:hAnsi="宋体" w:eastAsia="宋体" w:cs="宋体"/>
          <w:color w:val="auto"/>
        </w:rPr>
      </w:pPr>
      <w:r>
        <w:rPr>
          <w:rFonts w:hint="eastAsia" w:ascii="宋体" w:hAnsi="宋体" w:eastAsia="宋体" w:cs="宋体"/>
          <w:color w:val="auto"/>
        </w:rPr>
        <w:t>已识别的风险及其影响</w:t>
      </w:r>
    </w:p>
    <w:p>
      <w:pPr>
        <w:numPr>
          <w:ilvl w:val="0"/>
          <w:numId w:val="33"/>
        </w:numPr>
        <w:tabs>
          <w:tab w:val="clear" w:pos="720"/>
        </w:tabs>
        <w:spacing w:after="120"/>
        <w:ind w:left="1134" w:hanging="567"/>
        <w:rPr>
          <w:rFonts w:ascii="宋体" w:hAnsi="宋体" w:eastAsia="宋体" w:cs="宋体"/>
          <w:color w:val="auto"/>
        </w:rPr>
      </w:pPr>
      <w:r>
        <w:rPr>
          <w:rFonts w:hint="eastAsia" w:ascii="宋体" w:hAnsi="宋体" w:eastAsia="宋体" w:cs="宋体"/>
          <w:color w:val="auto"/>
        </w:rPr>
        <w:t>风险类别</w:t>
      </w:r>
    </w:p>
    <w:p>
      <w:pPr>
        <w:numPr>
          <w:ilvl w:val="0"/>
          <w:numId w:val="33"/>
        </w:numPr>
        <w:tabs>
          <w:tab w:val="clear" w:pos="720"/>
        </w:tabs>
        <w:spacing w:after="120"/>
        <w:ind w:left="1134" w:hanging="567"/>
        <w:rPr>
          <w:rFonts w:ascii="宋体" w:hAnsi="宋体" w:eastAsia="宋体" w:cs="宋体"/>
          <w:color w:val="auto"/>
          <w:lang w:eastAsia="zh-CN"/>
        </w:rPr>
      </w:pPr>
      <w:r>
        <w:rPr>
          <w:rFonts w:hint="eastAsia" w:ascii="宋体" w:hAnsi="宋体" w:eastAsia="宋体" w:cs="宋体"/>
          <w:color w:val="auto"/>
          <w:lang w:eastAsia="zh-CN"/>
        </w:rPr>
        <w:t>可能性和影响评分及总体影响</w:t>
      </w:r>
    </w:p>
    <w:p>
      <w:pPr>
        <w:numPr>
          <w:ilvl w:val="0"/>
          <w:numId w:val="33"/>
        </w:numPr>
        <w:tabs>
          <w:tab w:val="clear" w:pos="720"/>
        </w:tabs>
        <w:spacing w:after="120"/>
        <w:ind w:left="1134" w:hanging="567"/>
        <w:rPr>
          <w:rFonts w:ascii="宋体" w:hAnsi="宋体" w:eastAsia="宋体" w:cs="宋体"/>
          <w:color w:val="auto"/>
        </w:rPr>
      </w:pPr>
      <w:r>
        <w:rPr>
          <w:rFonts w:hint="eastAsia" w:ascii="宋体" w:hAnsi="宋体" w:eastAsia="宋体" w:cs="宋体"/>
          <w:color w:val="auto"/>
        </w:rPr>
        <w:t>缓解措施</w:t>
      </w:r>
    </w:p>
    <w:p>
      <w:pPr>
        <w:numPr>
          <w:ilvl w:val="0"/>
          <w:numId w:val="33"/>
        </w:numPr>
        <w:tabs>
          <w:tab w:val="clear" w:pos="720"/>
        </w:tabs>
        <w:spacing w:after="120"/>
        <w:ind w:left="1134" w:hanging="567"/>
        <w:rPr>
          <w:rFonts w:ascii="宋体" w:hAnsi="宋体" w:eastAsia="宋体" w:cs="宋体"/>
          <w:color w:val="auto"/>
        </w:rPr>
      </w:pPr>
      <w:r>
        <w:rPr>
          <w:rFonts w:hint="eastAsia" w:ascii="宋体" w:hAnsi="宋体" w:eastAsia="宋体" w:cs="宋体"/>
          <w:color w:val="auto"/>
        </w:rPr>
        <w:t>责任</w:t>
      </w:r>
    </w:p>
    <w:p>
      <w:pPr>
        <w:pStyle w:val="2"/>
        <w:rPr>
          <w:rFonts w:ascii="宋体" w:hAnsi="宋体" w:eastAsia="宋体" w:cs="宋体"/>
          <w:lang w:eastAsia="zh-CN"/>
        </w:rPr>
      </w:pPr>
      <w:r>
        <w:rPr>
          <w:rFonts w:hint="eastAsia" w:ascii="宋体" w:hAnsi="宋体" w:eastAsia="宋体" w:cs="宋体"/>
          <w:lang w:eastAsia="zh-CN"/>
        </w:rPr>
        <w:t>模块</w:t>
      </w:r>
      <w:r>
        <w:rPr>
          <w:rFonts w:eastAsia="宋体" w:cs="Verdana"/>
          <w:lang w:eastAsia="zh-CN"/>
        </w:rPr>
        <w:t>5</w:t>
      </w:r>
      <w:r>
        <w:rPr>
          <w:rFonts w:hint="eastAsia" w:ascii="宋体" w:hAnsi="宋体" w:eastAsia="宋体" w:cs="宋体"/>
          <w:lang w:eastAsia="zh-CN"/>
        </w:rPr>
        <w:t>的活动和输出见表</w:t>
      </w:r>
      <w:r>
        <w:rPr>
          <w:rFonts w:eastAsia="宋体" w:cs="Verdana"/>
          <w:lang w:eastAsia="zh-CN"/>
        </w:rPr>
        <w:t>5.11</w:t>
      </w:r>
      <w:r>
        <w:rPr>
          <w:rFonts w:hint="eastAsia" w:ascii="宋体" w:hAnsi="宋体" w:eastAsia="宋体" w:cs="宋体"/>
          <w:lang w:eastAsia="zh-CN"/>
        </w:rPr>
        <w:t>。</w:t>
      </w:r>
    </w:p>
    <w:p>
      <w:pPr>
        <w:spacing w:after="240" w:line="240" w:lineRule="exact"/>
        <w:jc w:val="center"/>
        <w:rPr>
          <w:b/>
          <w:bCs/>
          <w:lang w:eastAsia="zh-CN"/>
        </w:rPr>
      </w:pPr>
      <w:r>
        <w:rPr>
          <w:rFonts w:hint="eastAsia" w:ascii="微软雅黑" w:hAnsi="微软雅黑" w:eastAsia="微软雅黑" w:cs="微软雅黑"/>
          <w:b/>
          <w:bCs/>
          <w:lang w:val="en-US" w:eastAsia="zh-CN"/>
        </w:rPr>
        <w:t>表</w:t>
      </w:r>
      <w:r>
        <w:rPr>
          <w:b/>
          <w:bCs/>
          <w:lang w:eastAsia="zh-CN"/>
        </w:rPr>
        <w:t xml:space="preserve">5.11. </w:t>
      </w:r>
      <w:r>
        <w:rPr>
          <w:rFonts w:hint="eastAsia" w:ascii="微软雅黑" w:hAnsi="微软雅黑" w:eastAsia="微软雅黑" w:cs="微软雅黑"/>
          <w:b/>
          <w:bCs/>
          <w:lang w:eastAsia="zh-CN"/>
        </w:rPr>
        <w:t>模块</w:t>
      </w:r>
      <w:r>
        <w:rPr>
          <w:rFonts w:hint="eastAsia" w:ascii="微软雅黑" w:hAnsi="微软雅黑" w:eastAsia="微软雅黑" w:cs="微软雅黑"/>
          <w:b/>
          <w:bCs/>
          <w:lang w:val="en-US" w:eastAsia="zh-CN"/>
        </w:rPr>
        <w:t>5</w:t>
      </w:r>
      <w:r>
        <w:rPr>
          <w:rFonts w:hint="eastAsia" w:ascii="微软雅黑" w:hAnsi="微软雅黑" w:eastAsia="微软雅黑" w:cs="微软雅黑"/>
          <w:b/>
          <w:bCs/>
          <w:lang w:eastAsia="zh-CN"/>
        </w:rPr>
        <w:t>要求开展的活动和交付的产出</w:t>
      </w:r>
    </w:p>
    <w:tbl>
      <w:tblPr>
        <w:tblStyle w:val="368"/>
        <w:tblW w:w="0" w:type="auto"/>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793"/>
        <w:gridCol w:w="1878"/>
        <w:gridCol w:w="2885"/>
        <w:gridCol w:w="429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480" w:hRule="atLeast"/>
        </w:trPr>
        <w:tc>
          <w:tcPr>
            <w:tcW w:w="1123" w:type="dxa"/>
            <w:vMerge w:val="restart"/>
            <w:shd w:val="clear" w:color="auto" w:fill="F1F1F1" w:themeFill="background1" w:themeFillShade="F2"/>
            <w:vAlign w:val="center"/>
          </w:tcPr>
          <w:p>
            <w:pPr>
              <w:keepNext/>
              <w:keepLine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val="en-US" w:eastAsia="zh-CN"/>
              </w:rPr>
              <w:t>活动</w:t>
            </w:r>
            <w:r>
              <w:rPr>
                <w:rFonts w:hint="eastAsia" w:ascii="微软雅黑" w:hAnsi="微软雅黑" w:eastAsia="微软雅黑" w:cs="微软雅黑"/>
                <w:b/>
                <w:bCs/>
                <w:color w:val="auto"/>
                <w:sz w:val="20"/>
                <w:szCs w:val="20"/>
                <w:lang w:eastAsia="en-US"/>
              </w:rPr>
              <w:t>项目</w:t>
            </w:r>
          </w:p>
        </w:tc>
        <w:tc>
          <w:tcPr>
            <w:tcW w:w="2558" w:type="dxa"/>
            <w:vMerge w:val="restart"/>
            <w:shd w:val="clear" w:color="auto" w:fill="F1F1F1" w:themeFill="background1" w:themeFillShade="F2"/>
            <w:vAlign w:val="center"/>
          </w:tcPr>
          <w:p>
            <w:pPr>
              <w:keepNext/>
              <w:keepLine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val="en-US" w:eastAsia="zh-CN"/>
              </w:rPr>
              <w:t>活动</w:t>
            </w:r>
          </w:p>
        </w:tc>
        <w:tc>
          <w:tcPr>
            <w:tcW w:w="2845" w:type="dxa"/>
            <w:vMerge w:val="restart"/>
            <w:shd w:val="clear" w:color="auto" w:fill="F1F1F1" w:themeFill="background1" w:themeFillShade="F2"/>
            <w:vAlign w:val="center"/>
          </w:tcPr>
          <w:p>
            <w:pPr>
              <w:keepNext/>
              <w:keepLine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val="en-US" w:eastAsia="zh-CN"/>
              </w:rPr>
              <w:t>产出</w:t>
            </w:r>
          </w:p>
        </w:tc>
        <w:tc>
          <w:tcPr>
            <w:tcW w:w="3329" w:type="dxa"/>
            <w:vMerge w:val="restart"/>
            <w:shd w:val="clear" w:color="auto" w:fill="F1F1F1" w:themeFill="background1" w:themeFillShade="F2"/>
            <w:vAlign w:val="center"/>
          </w:tcPr>
          <w:p>
            <w:pPr>
              <w:keepNext/>
              <w:keepLines/>
              <w:tabs>
                <w:tab w:val="right" w:pos="2052"/>
              </w:tabs>
              <w:spacing w:before="60" w:after="60"/>
              <w:jc w:val="center"/>
              <w:rPr>
                <w:rFonts w:eastAsia="Segoe UI" w:cs="Segoe UI"/>
                <w:b/>
                <w:bCs/>
                <w:color w:val="auto"/>
                <w:sz w:val="20"/>
                <w:szCs w:val="20"/>
                <w:lang w:eastAsia="en-US"/>
              </w:rPr>
            </w:pPr>
            <w:r>
              <w:rPr>
                <w:rFonts w:hint="eastAsia" w:ascii="微软雅黑" w:hAnsi="微软雅黑" w:eastAsia="微软雅黑" w:cs="微软雅黑"/>
                <w:b/>
                <w:bCs/>
                <w:color w:val="auto"/>
                <w:sz w:val="20"/>
                <w:szCs w:val="20"/>
                <w:lang w:val="en-US" w:eastAsia="zh-CN"/>
              </w:rPr>
              <w:t>相关指导材料</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63" w:hRule="atLeast"/>
        </w:trPr>
        <w:tc>
          <w:tcPr>
            <w:tcW w:w="0" w:type="auto"/>
            <w:vMerge w:val="continue"/>
            <w:shd w:val="clear" w:color="auto" w:fill="F1F1F1" w:themeFill="background1" w:themeFillShade="F2"/>
          </w:tcPr>
          <w:p>
            <w:pPr>
              <w:spacing w:before="60" w:after="60"/>
              <w:rPr>
                <w:rFonts w:eastAsia="Calibri"/>
                <w:color w:val="auto"/>
                <w:sz w:val="20"/>
                <w:szCs w:val="20"/>
                <w:lang w:eastAsia="en-US"/>
              </w:rPr>
            </w:pPr>
          </w:p>
        </w:tc>
        <w:tc>
          <w:tcPr>
            <w:tcW w:w="0" w:type="auto"/>
            <w:vMerge w:val="continue"/>
            <w:shd w:val="clear" w:color="auto" w:fill="F1F1F1" w:themeFill="background1" w:themeFillShade="F2"/>
          </w:tcPr>
          <w:p>
            <w:pPr>
              <w:spacing w:before="60" w:after="60"/>
              <w:rPr>
                <w:rFonts w:eastAsia="Calibri"/>
                <w:color w:val="auto"/>
                <w:sz w:val="20"/>
                <w:szCs w:val="20"/>
                <w:lang w:eastAsia="en-US"/>
              </w:rPr>
            </w:pPr>
          </w:p>
        </w:tc>
        <w:tc>
          <w:tcPr>
            <w:tcW w:w="0" w:type="auto"/>
            <w:vMerge w:val="continue"/>
            <w:shd w:val="clear" w:color="auto" w:fill="F1F1F1" w:themeFill="background1" w:themeFillShade="F2"/>
          </w:tcPr>
          <w:p>
            <w:pPr>
              <w:spacing w:before="60" w:after="60"/>
              <w:rPr>
                <w:rFonts w:eastAsia="Calibri"/>
                <w:color w:val="auto"/>
                <w:sz w:val="20"/>
                <w:szCs w:val="20"/>
                <w:lang w:eastAsia="en-US"/>
              </w:rPr>
            </w:pPr>
          </w:p>
        </w:tc>
        <w:tc>
          <w:tcPr>
            <w:tcW w:w="0" w:type="auto"/>
            <w:vMerge w:val="continue"/>
            <w:shd w:val="clear" w:color="auto" w:fill="F1F1F1" w:themeFill="background1" w:themeFillShade="F2"/>
          </w:tcPr>
          <w:p>
            <w:pPr>
              <w:spacing w:before="60" w:after="60"/>
              <w:rPr>
                <w:rFonts w:eastAsia="Calibri"/>
                <w:color w:val="auto"/>
                <w:sz w:val="20"/>
                <w:szCs w:val="20"/>
                <w:lang w:eastAsia="en-US"/>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42" w:hRule="atLeast"/>
        </w:trPr>
        <w:tc>
          <w:tcPr>
            <w:tcW w:w="0" w:type="auto"/>
            <w:shd w:val="clear" w:color="auto" w:fill="auto"/>
          </w:tcPr>
          <w:p>
            <w:pPr>
              <w:spacing w:before="60" w:after="60"/>
              <w:rPr>
                <w:rFonts w:eastAsia="Segoe UI" w:cs="Segoe UI"/>
                <w:color w:val="auto"/>
                <w:sz w:val="20"/>
                <w:szCs w:val="20"/>
                <w:lang w:eastAsia="en-US"/>
              </w:rPr>
            </w:pPr>
            <w:r>
              <w:rPr>
                <w:rFonts w:eastAsia="Segoe UI" w:cs="Segoe UI"/>
                <w:color w:val="auto"/>
                <w:sz w:val="20"/>
                <w:szCs w:val="20"/>
                <w:lang w:eastAsia="en-US"/>
              </w:rPr>
              <w:t xml:space="preserve">5.1 </w:t>
            </w:r>
          </w:p>
        </w:tc>
        <w:tc>
          <w:tcPr>
            <w:tcW w:w="0" w:type="auto"/>
            <w:shd w:val="clear" w:color="auto" w:fill="auto"/>
          </w:tcPr>
          <w:p>
            <w:pPr>
              <w:spacing w:before="60" w:after="60"/>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评估实施计划的业务风险并确定缓解措施</w:t>
            </w:r>
          </w:p>
        </w:tc>
        <w:tc>
          <w:tcPr>
            <w:tcW w:w="0" w:type="auto"/>
            <w:shd w:val="clear" w:color="auto" w:fill="auto"/>
          </w:tcPr>
          <w:p>
            <w:pPr>
              <w:numPr>
                <w:ilvl w:val="0"/>
                <w:numId w:val="34"/>
              </w:numPr>
              <w:spacing w:before="60" w:after="60"/>
              <w:ind w:left="357" w:right="-159" w:hanging="357"/>
              <w:rPr>
                <w:rFonts w:ascii="宋体" w:hAnsi="宋体" w:eastAsia="宋体" w:cs="宋体"/>
                <w:color w:val="auto"/>
                <w:sz w:val="20"/>
                <w:szCs w:val="20"/>
                <w:lang w:eastAsia="zh-CN"/>
              </w:rPr>
            </w:pPr>
            <w:r>
              <w:rPr>
                <w:rFonts w:hint="eastAsia" w:ascii="宋体" w:hAnsi="宋体" w:eastAsia="宋体" w:cs="宋体"/>
                <w:color w:val="auto"/>
                <w:sz w:val="20"/>
                <w:szCs w:val="20"/>
                <w:lang w:eastAsia="zh-CN"/>
              </w:rPr>
              <w:t>建立风险和控制矩阵，以管理风险和提出缓解措施，包括</w:t>
            </w:r>
          </w:p>
          <w:p>
            <w:pPr>
              <w:pStyle w:val="318"/>
              <w:numPr>
                <w:ilvl w:val="0"/>
                <w:numId w:val="35"/>
              </w:numPr>
              <w:spacing w:before="60" w:after="60" w:line="240" w:lineRule="auto"/>
              <w:ind w:right="-159"/>
              <w:rPr>
                <w:rFonts w:ascii="宋体" w:hAnsi="宋体" w:cs="宋体"/>
                <w:color w:val="auto"/>
                <w:sz w:val="20"/>
                <w:szCs w:val="20"/>
                <w:lang w:val="en-GB" w:eastAsia="en-US"/>
              </w:rPr>
            </w:pPr>
            <w:r>
              <w:rPr>
                <w:rFonts w:hint="eastAsia" w:ascii="宋体" w:hAnsi="宋体" w:cs="宋体"/>
                <w:color w:val="auto"/>
                <w:sz w:val="20"/>
                <w:szCs w:val="20"/>
                <w:lang w:val="en-GB" w:eastAsia="en-US"/>
              </w:rPr>
              <w:t>识别</w:t>
            </w:r>
            <w:r>
              <w:rPr>
                <w:rFonts w:hint="eastAsia" w:ascii="宋体" w:hAnsi="宋体" w:cs="宋体"/>
                <w:color w:val="auto"/>
                <w:sz w:val="20"/>
                <w:szCs w:val="20"/>
                <w:lang w:val="en-GB" w:eastAsia="zh-CN"/>
              </w:rPr>
              <w:t>业务</w:t>
            </w:r>
            <w:r>
              <w:rPr>
                <w:rFonts w:hint="eastAsia" w:ascii="宋体" w:hAnsi="宋体" w:cs="宋体"/>
                <w:color w:val="auto"/>
                <w:sz w:val="20"/>
                <w:szCs w:val="20"/>
                <w:lang w:val="en-GB" w:eastAsia="en-US"/>
              </w:rPr>
              <w:t>风险</w:t>
            </w:r>
          </w:p>
          <w:p>
            <w:pPr>
              <w:pStyle w:val="318"/>
              <w:numPr>
                <w:ilvl w:val="0"/>
                <w:numId w:val="35"/>
              </w:numPr>
              <w:spacing w:before="60" w:after="60" w:line="240" w:lineRule="auto"/>
              <w:ind w:right="-159"/>
              <w:rPr>
                <w:rFonts w:ascii="宋体" w:hAnsi="宋体" w:cs="宋体"/>
                <w:color w:val="auto"/>
                <w:sz w:val="20"/>
                <w:szCs w:val="20"/>
                <w:lang w:val="en-GB" w:eastAsia="en-US"/>
              </w:rPr>
            </w:pPr>
            <w:r>
              <w:rPr>
                <w:rFonts w:hint="eastAsia" w:ascii="宋体" w:hAnsi="宋体" w:cs="宋体"/>
                <w:color w:val="auto"/>
                <w:sz w:val="20"/>
                <w:szCs w:val="20"/>
                <w:lang w:val="en-GB" w:eastAsia="en-US"/>
              </w:rPr>
              <w:t>风险分析</w:t>
            </w:r>
          </w:p>
          <w:p>
            <w:pPr>
              <w:pStyle w:val="318"/>
              <w:numPr>
                <w:ilvl w:val="0"/>
                <w:numId w:val="35"/>
              </w:numPr>
              <w:spacing w:before="60" w:after="60" w:line="240" w:lineRule="auto"/>
              <w:ind w:right="-159"/>
              <w:rPr>
                <w:rFonts w:ascii="宋体" w:hAnsi="宋体" w:cs="宋体"/>
                <w:color w:val="auto"/>
                <w:sz w:val="20"/>
                <w:szCs w:val="20"/>
                <w:lang w:val="en-GB" w:eastAsia="en-US"/>
              </w:rPr>
            </w:pPr>
            <w:r>
              <w:rPr>
                <w:rFonts w:hint="eastAsia" w:ascii="宋体" w:hAnsi="宋体" w:cs="宋体"/>
                <w:color w:val="auto"/>
                <w:sz w:val="20"/>
                <w:szCs w:val="20"/>
                <w:lang w:val="en-GB" w:eastAsia="en-US"/>
              </w:rPr>
              <w:t>风险缓解措施</w:t>
            </w:r>
          </w:p>
          <w:p>
            <w:pPr>
              <w:pStyle w:val="318"/>
              <w:numPr>
                <w:ilvl w:val="0"/>
                <w:numId w:val="35"/>
              </w:numPr>
              <w:spacing w:before="60" w:after="60" w:line="240" w:lineRule="auto"/>
              <w:ind w:right="-159"/>
              <w:rPr>
                <w:rFonts w:ascii="宋体" w:hAnsi="宋体" w:cs="宋体"/>
                <w:color w:val="auto"/>
                <w:sz w:val="20"/>
                <w:szCs w:val="20"/>
                <w:lang w:val="en-GB" w:eastAsia="zh-CN"/>
              </w:rPr>
            </w:pPr>
            <w:r>
              <w:rPr>
                <w:rFonts w:hint="eastAsia" w:ascii="宋体" w:hAnsi="宋体" w:cs="宋体"/>
                <w:color w:val="auto"/>
                <w:sz w:val="20"/>
                <w:szCs w:val="20"/>
                <w:lang w:val="en-GB" w:eastAsia="zh-CN"/>
              </w:rPr>
              <w:t>采取缓解措施后，监测和</w:t>
            </w:r>
            <w:r>
              <w:rPr>
                <w:rFonts w:hint="eastAsia" w:ascii="宋体" w:hAnsi="宋体" w:cs="宋体"/>
                <w:color w:val="auto"/>
                <w:sz w:val="20"/>
                <w:szCs w:val="20"/>
                <w:lang w:val="en-US" w:eastAsia="zh-CN"/>
              </w:rPr>
              <w:t>评估</w:t>
            </w:r>
            <w:r>
              <w:rPr>
                <w:rFonts w:hint="eastAsia" w:ascii="宋体" w:hAnsi="宋体" w:cs="宋体"/>
                <w:color w:val="auto"/>
                <w:sz w:val="20"/>
                <w:szCs w:val="20"/>
                <w:lang w:val="en-GB" w:eastAsia="zh-CN"/>
              </w:rPr>
              <w:t>风险</w:t>
            </w:r>
          </w:p>
        </w:tc>
        <w:tc>
          <w:tcPr>
            <w:tcW w:w="0" w:type="auto"/>
            <w:shd w:val="clear" w:color="auto" w:fill="auto"/>
          </w:tcPr>
          <w:p>
            <w:pPr>
              <w:spacing w:before="60" w:after="60"/>
              <w:rPr>
                <w:rFonts w:eastAsia="Segoe UI" w:cs="Segoe UI"/>
                <w:color w:val="auto"/>
                <w:sz w:val="20"/>
                <w:szCs w:val="20"/>
                <w:lang w:eastAsia="zh-CN"/>
              </w:rPr>
            </w:pPr>
            <w:r>
              <w:rPr>
                <w:sz w:val="22"/>
                <w:szCs w:val="22"/>
              </w:rPr>
              <w:fldChar w:fldCharType="begin"/>
            </w:r>
            <w:r>
              <w:rPr>
                <w:sz w:val="22"/>
                <w:szCs w:val="22"/>
              </w:rPr>
              <w:instrText xml:space="preserve"> HYPERLINK "https://library.wmo.int/index.php?lvl=notice_display&amp;id=15871" \l ".Y-ekmMdBybg" </w:instrText>
            </w:r>
            <w:r>
              <w:rPr>
                <w:sz w:val="22"/>
                <w:szCs w:val="22"/>
              </w:rPr>
              <w:fldChar w:fldCharType="separate"/>
            </w:r>
            <w:r>
              <w:rPr>
                <w:rStyle w:val="43"/>
                <w:rFonts w:hint="eastAsia" w:eastAsia="宋体" w:cs="Segoe UI"/>
                <w:sz w:val="20"/>
                <w:szCs w:val="20"/>
                <w:lang w:eastAsia="zh-CN"/>
              </w:rPr>
              <w:t>《国家气象水文部门和其他相关服务提供方 质量管理体系实施指南》</w:t>
            </w:r>
            <w:r>
              <w:rPr>
                <w:rStyle w:val="43"/>
                <w:rFonts w:hint="eastAsia" w:eastAsia="宋体" w:cs="Segoe UI"/>
                <w:sz w:val="20"/>
                <w:szCs w:val="20"/>
                <w:lang w:eastAsia="zh-CN"/>
              </w:rPr>
              <w:fldChar w:fldCharType="end"/>
            </w:r>
            <w:r>
              <w:rPr>
                <w:rFonts w:hint="eastAsia" w:eastAsia="宋体" w:cs="Segoe UI"/>
                <w:color w:val="auto"/>
                <w:sz w:val="20"/>
                <w:szCs w:val="20"/>
                <w:lang w:eastAsia="zh-CN"/>
              </w:rPr>
              <w:t>（</w:t>
            </w:r>
            <w:r>
              <w:rPr>
                <w:rFonts w:eastAsia="Segoe UI" w:cs="Segoe UI"/>
                <w:color w:val="auto"/>
                <w:sz w:val="20"/>
                <w:szCs w:val="20"/>
                <w:lang w:eastAsia="zh-CN"/>
              </w:rPr>
              <w:t>WMO-No. 1100</w:t>
            </w:r>
            <w:r>
              <w:rPr>
                <w:rFonts w:hint="eastAsia" w:eastAsia="宋体" w:cs="Segoe UI"/>
                <w:color w:val="auto"/>
                <w:sz w:val="20"/>
                <w:szCs w:val="20"/>
                <w:lang w:eastAsia="zh-CN"/>
              </w:rPr>
              <w:t>）</w:t>
            </w:r>
          </w:p>
        </w:tc>
      </w:tr>
    </w:tbl>
    <w:p>
      <w:pPr>
        <w:rPr>
          <w:rFonts w:eastAsia="Segoe UI" w:cs="Segoe UI"/>
          <w:i/>
          <w:iCs/>
          <w:lang w:eastAsia="zh-CN"/>
        </w:rPr>
      </w:pPr>
      <w:bookmarkStart w:id="46" w:name="_p_51A38F0B8F57D246B7A823B1B4C00941"/>
      <w:bookmarkEnd w:id="46"/>
      <w:bookmarkStart w:id="47" w:name="_p_AD7CCAA413DCF34C83E1FCEBF9059EE6"/>
      <w:bookmarkEnd w:id="47"/>
      <w:bookmarkStart w:id="48" w:name="_p_F38A55C028AEAC4985D65ED55C54BBAD"/>
      <w:bookmarkEnd w:id="48"/>
      <w:bookmarkStart w:id="49" w:name="_p_89ED7DFFB7972F49A0A886B1EC1D3148"/>
      <w:bookmarkEnd w:id="49"/>
      <w:bookmarkStart w:id="50" w:name="_Toc107569114"/>
    </w:p>
    <w:p>
      <w:pPr>
        <w:rPr>
          <w:rStyle w:val="338"/>
          <w:lang w:eastAsia="zh-CN"/>
        </w:rPr>
      </w:pPr>
      <w:r>
        <w:rPr>
          <w:rFonts w:ascii="Times New Roman" w:hAnsi="Times New Roman" w:eastAsia="宋体" w:cs="Times New Roman"/>
          <w:color w:val="333333"/>
          <w:shd w:val="clear" w:color="auto" w:fill="FFFFFF"/>
          <w:lang w:eastAsia="zh-CN"/>
        </w:rPr>
        <w:t>国家</w:t>
      </w:r>
      <w:r>
        <w:rPr>
          <w:rFonts w:eastAsia="宋体" w:cs="Times New Roman"/>
          <w:color w:val="333333"/>
          <w:shd w:val="clear" w:color="auto" w:fill="FFFFFF"/>
          <w:lang w:eastAsia="zh-CN"/>
        </w:rPr>
        <w:t>GBON</w:t>
      </w:r>
      <w:r>
        <w:rPr>
          <w:rFonts w:ascii="Times New Roman" w:hAnsi="Times New Roman" w:eastAsia="宋体" w:cs="Times New Roman"/>
          <w:color w:val="333333"/>
          <w:shd w:val="clear" w:color="auto" w:fill="FFFFFF"/>
          <w:lang w:eastAsia="zh-CN"/>
        </w:rPr>
        <w:t>贡献计划报告模板</w:t>
      </w:r>
      <w:r>
        <w:rPr>
          <w:rStyle w:val="338"/>
          <w:rFonts w:hint="eastAsia"/>
          <w:lang w:eastAsia="zh-CN"/>
        </w:rPr>
        <w:t>见</w:t>
      </w:r>
      <w:r>
        <w:fldChar w:fldCharType="begin"/>
      </w:r>
      <w:r>
        <w:instrText xml:space="preserve"> HYPERLINK "https://community.wmo.int/en/activity-areas/wigos/gbon/implementation-global-basic-observing-network-gbon/defining-initial-composition-gbon/references-gbon-material" </w:instrText>
      </w:r>
      <w:r>
        <w:fldChar w:fldCharType="separate"/>
      </w:r>
      <w:r>
        <w:rPr>
          <w:rStyle w:val="43"/>
          <w:rFonts w:eastAsia="宋体" w:cs="Verdana"/>
          <w:lang w:eastAsia="zh-CN"/>
        </w:rPr>
        <w:t>GBON</w:t>
      </w:r>
      <w:r>
        <w:rPr>
          <w:rStyle w:val="43"/>
          <w:rFonts w:hint="eastAsia" w:ascii="宋体" w:hAnsi="宋体" w:eastAsia="宋体" w:cs="宋体"/>
          <w:lang w:eastAsia="zh-CN"/>
        </w:rPr>
        <w:t>材料参考</w:t>
      </w:r>
      <w:r>
        <w:rPr>
          <w:rStyle w:val="43"/>
          <w:rFonts w:hint="eastAsia" w:ascii="宋体" w:hAnsi="宋体" w:eastAsia="宋体" w:cs="宋体"/>
          <w:lang w:eastAsia="zh-CN"/>
        </w:rPr>
        <w:fldChar w:fldCharType="end"/>
      </w:r>
      <w:r>
        <w:rPr>
          <w:rStyle w:val="338"/>
          <w:rFonts w:hint="eastAsia"/>
          <w:lang w:eastAsia="zh-CN"/>
        </w:rPr>
        <w:t>。</w:t>
      </w:r>
      <w:r>
        <w:rPr>
          <w:rStyle w:val="338"/>
          <w:rFonts w:hint="eastAsia"/>
          <w:i/>
          <w:iCs/>
          <w:lang w:eastAsia="zh-CN"/>
        </w:rPr>
        <w:t>（编者注：</w:t>
      </w:r>
      <w:r>
        <w:rPr>
          <w:rStyle w:val="338"/>
          <w:rFonts w:hint="eastAsia" w:ascii="宋体" w:hAnsi="宋体" w:eastAsia="宋体" w:cs="微软雅黑"/>
          <w:i/>
          <w:iCs/>
          <w:lang w:eastAsia="zh-CN"/>
        </w:rPr>
        <w:t>适时会上传至网站</w:t>
      </w:r>
      <w:r>
        <w:rPr>
          <w:rStyle w:val="338"/>
          <w:rFonts w:hint="eastAsia" w:ascii="宋体" w:hAnsi="宋体" w:eastAsia="宋体"/>
          <w:i/>
          <w:iCs/>
          <w:lang w:eastAsia="zh-CN"/>
        </w:rPr>
        <w:t>）</w:t>
      </w:r>
      <w:r>
        <w:rPr>
          <w:rStyle w:val="338"/>
          <w:rFonts w:hint="eastAsia"/>
          <w:i/>
          <w:iCs/>
          <w:lang w:eastAsia="zh-CN"/>
        </w:rPr>
        <w:t>。</w:t>
      </w:r>
      <w:r>
        <w:rPr>
          <w:rStyle w:val="338"/>
          <w:lang w:eastAsia="zh-CN"/>
        </w:rPr>
        <w:br w:type="page"/>
      </w:r>
    </w:p>
    <w:bookmarkEnd w:id="50"/>
    <w:p>
      <w:pPr>
        <w:pStyle w:val="106"/>
        <w:spacing w:after="240" w:line="240" w:lineRule="auto"/>
        <w:outlineLvl w:val="1"/>
        <w:rPr>
          <w:rFonts w:ascii="微软雅黑" w:hAnsi="微软雅黑" w:eastAsia="微软雅黑" w:cs="微软雅黑"/>
          <w:lang w:eastAsia="zh-CN"/>
        </w:rPr>
      </w:pPr>
      <w:r>
        <w:rPr>
          <w:lang w:eastAsia="zh-CN"/>
        </w:rPr>
        <w:t xml:space="preserve">6. </w:t>
      </w:r>
      <w:r>
        <w:rPr>
          <w:lang w:eastAsia="zh-CN"/>
        </w:rPr>
        <w:tab/>
      </w:r>
      <w:r>
        <w:rPr>
          <w:rFonts w:hint="eastAsia"/>
          <w:lang w:eastAsia="zh-CN"/>
        </w:rPr>
        <w:t>GBON</w:t>
      </w:r>
      <w:r>
        <w:rPr>
          <w:rFonts w:hint="eastAsia" w:ascii="微软雅黑" w:hAnsi="微软雅黑" w:eastAsia="微软雅黑" w:cs="微软雅黑"/>
          <w:lang w:eastAsia="zh-CN"/>
        </w:rPr>
        <w:t>参数报告规则</w:t>
      </w:r>
    </w:p>
    <w:p>
      <w:pPr>
        <w:pStyle w:val="115"/>
        <w:spacing w:before="240" w:after="240" w:line="240" w:lineRule="auto"/>
        <w:outlineLvl w:val="2"/>
        <w:rPr>
          <w:rFonts w:ascii="微软雅黑" w:hAnsi="微软雅黑" w:eastAsia="微软雅黑" w:cs="微软雅黑"/>
        </w:rPr>
      </w:pPr>
      <w:r>
        <w:t>6.1</w:t>
      </w:r>
      <w:r>
        <w:tab/>
      </w:r>
      <w:bookmarkStart w:id="51" w:name="_p_E42B21FF178AF749805FE0B9A556D19E"/>
      <w:bookmarkEnd w:id="51"/>
      <w:r>
        <w:rPr>
          <w:rFonts w:hint="eastAsia" w:ascii="微软雅黑" w:hAnsi="微软雅黑" w:eastAsia="微软雅黑" w:cs="微软雅黑"/>
        </w:rPr>
        <w:t>报告每小时观测结果</w:t>
      </w:r>
    </w:p>
    <w:p>
      <w:pPr>
        <w:pStyle w:val="2"/>
        <w:rPr>
          <w:lang w:eastAsia="zh-CN"/>
        </w:rPr>
      </w:pPr>
      <w:r>
        <w:rPr>
          <w:rFonts w:hint="eastAsia"/>
          <w:lang w:eastAsia="zh-CN"/>
        </w:rPr>
        <w:t>根据</w:t>
      </w: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"https://library.wmo.int/index.php?lvl=notice_display&amp;id=19620" \l ".Y-eVBMdBybg" </w:instrText>
      </w:r>
      <w:r>
        <w:rPr>
          <w:rFonts w:hint="eastAsia" w:ascii="宋体" w:hAnsi="宋体" w:eastAsia="宋体" w:cs="宋体"/>
          <w:lang w:eastAsia="zh-CN"/>
        </w:rPr>
        <w:fldChar w:fldCharType="separate"/>
      </w:r>
      <w:r>
        <w:rPr>
          <w:rStyle w:val="43"/>
          <w:rFonts w:hint="eastAsia" w:ascii="宋体" w:hAnsi="宋体" w:eastAsia="宋体" w:cs="宋体"/>
          <w:lang w:eastAsia="zh-CN"/>
        </w:rPr>
        <w:t>《</w:t>
      </w:r>
      <w:r>
        <w:rPr>
          <w:rStyle w:val="43"/>
          <w:rFonts w:eastAsia="宋体" w:cs="Verdana"/>
          <w:lang w:eastAsia="zh-CN"/>
        </w:rPr>
        <w:t>WMO</w:t>
      </w:r>
      <w:r>
        <w:rPr>
          <w:rStyle w:val="43"/>
          <w:rFonts w:hint="eastAsia" w:ascii="宋体" w:hAnsi="宋体" w:eastAsia="宋体" w:cs="宋体"/>
          <w:lang w:eastAsia="zh-CN"/>
        </w:rPr>
        <w:t>全球综合观测系统手册》</w:t>
      </w:r>
      <w:r>
        <w:rPr>
          <w:rFonts w:hint="eastAsia" w:ascii="宋体" w:hAnsi="宋体" w:eastAsia="宋体" w:cs="宋体"/>
          <w:lang w:eastAsia="zh-CN"/>
        </w:rPr>
        <w:fldChar w:fldCharType="end"/>
      </w:r>
      <w:r>
        <w:rPr>
          <w:rFonts w:hint="eastAsia" w:ascii="宋体" w:hAnsi="宋体" w:eastAsia="宋体" w:cs="宋体"/>
          <w:lang w:eastAsia="zh-CN"/>
        </w:rPr>
        <w:t>（</w:t>
      </w:r>
      <w:r>
        <w:rPr>
          <w:rFonts w:eastAsia="宋体" w:cs="Verdana"/>
          <w:lang w:eastAsia="zh-CN"/>
        </w:rPr>
        <w:t>WMO</w:t>
      </w:r>
      <w:r>
        <w:rPr>
          <w:rFonts w:eastAsia="宋体" w:cs="Verdana"/>
          <w:lang w:eastAsia="zh-CN"/>
        </w:rPr>
        <w:noBreakHyphen/>
      </w:r>
      <w:r>
        <w:rPr>
          <w:rFonts w:eastAsia="宋体" w:cs="Verdana"/>
          <w:lang w:eastAsia="zh-CN"/>
        </w:rPr>
        <w:t>No. 1160</w:t>
      </w:r>
      <w:r>
        <w:rPr>
          <w:rFonts w:hint="eastAsia" w:ascii="宋体" w:hAnsi="宋体" w:eastAsia="宋体" w:cs="宋体"/>
          <w:lang w:eastAsia="zh-CN"/>
        </w:rPr>
        <w:t>）第</w:t>
      </w:r>
      <w:r>
        <w:rPr>
          <w:rFonts w:eastAsia="宋体" w:cs="Verdana"/>
          <w:lang w:eastAsia="zh-CN"/>
        </w:rPr>
        <w:t>3.2.2</w:t>
      </w:r>
      <w:r>
        <w:rPr>
          <w:rFonts w:hint="eastAsia" w:ascii="宋体" w:hAnsi="宋体" w:eastAsia="宋体" w:cs="宋体"/>
          <w:lang w:eastAsia="zh-CN"/>
        </w:rPr>
        <w:t>节，</w:t>
      </w:r>
      <w:r>
        <w:rPr>
          <w:rFonts w:eastAsia="宋体" w:cs="Verdana"/>
          <w:lang w:eastAsia="zh-CN"/>
        </w:rPr>
        <w:t>GBON</w:t>
      </w:r>
      <w:r>
        <w:rPr>
          <w:rFonts w:hint="eastAsia" w:ascii="宋体" w:hAnsi="宋体" w:eastAsia="宋体" w:cs="宋体"/>
          <w:lang w:eastAsia="zh-CN"/>
        </w:rPr>
        <w:t>地面观测站和高空观测站应观测最少数量的所需变量。这些</w:t>
      </w:r>
      <w:r>
        <w:rPr>
          <w:rFonts w:eastAsia="宋体" w:cs="宋体"/>
          <w:lang w:eastAsia="zh-CN"/>
        </w:rPr>
        <w:t>GBON</w:t>
      </w:r>
      <w:r>
        <w:rPr>
          <w:rFonts w:hint="eastAsia" w:ascii="宋体" w:hAnsi="宋体" w:eastAsia="宋体" w:cs="宋体"/>
          <w:lang w:eastAsia="zh-CN"/>
        </w:rPr>
        <w:t>要求变量的报告方法参见《电码手册》（</w:t>
      </w:r>
      <w:r>
        <w:rPr>
          <w:rFonts w:eastAsia="宋体" w:cs="Verdana"/>
          <w:lang w:eastAsia="zh-CN"/>
        </w:rPr>
        <w:t>WMO</w:t>
      </w:r>
      <w:r>
        <w:rPr>
          <w:rFonts w:hint="eastAsia" w:eastAsia="宋体" w:cs="Verdana"/>
          <w:lang w:val="en-US" w:eastAsia="zh-CN"/>
        </w:rPr>
        <w:t>-</w:t>
      </w:r>
      <w:r>
        <w:rPr>
          <w:rFonts w:eastAsia="宋体" w:cs="Verdana"/>
          <w:lang w:eastAsia="zh-CN"/>
        </w:rPr>
        <w:t>No. 306</w:t>
      </w:r>
      <w:r>
        <w:rPr>
          <w:rFonts w:hint="eastAsia" w:ascii="宋体" w:hAnsi="宋体" w:eastAsia="宋体" w:cs="宋体"/>
          <w:lang w:eastAsia="zh-CN"/>
        </w:rPr>
        <w:t>）第</w:t>
      </w:r>
      <w:r>
        <w:rPr>
          <w:rFonts w:eastAsia="宋体" w:cs="Verdana"/>
          <w:lang w:eastAsia="zh-CN"/>
        </w:rPr>
        <w:fldChar w:fldCharType="begin"/>
      </w:r>
      <w:r>
        <w:rPr>
          <w:rFonts w:eastAsia="宋体" w:cs="Verdana"/>
          <w:lang w:eastAsia="zh-CN"/>
        </w:rPr>
        <w:instrText xml:space="preserve"> HYPERLINK "https://library.wmo.int/index.php?lvl=notice_display&amp;id=10684" \l ".Y-elksdBybg" </w:instrText>
      </w:r>
      <w:r>
        <w:rPr>
          <w:rFonts w:eastAsia="宋体" w:cs="Verdana"/>
          <w:lang w:eastAsia="zh-CN"/>
        </w:rPr>
        <w:fldChar w:fldCharType="separate"/>
      </w:r>
      <w:r>
        <w:rPr>
          <w:rStyle w:val="43"/>
          <w:rFonts w:eastAsia="宋体" w:cs="Verdana"/>
          <w:lang w:eastAsia="zh-CN"/>
        </w:rPr>
        <w:t>I.2</w:t>
      </w:r>
      <w:r>
        <w:rPr>
          <w:rFonts w:eastAsia="宋体" w:cs="Verdana"/>
          <w:lang w:eastAsia="zh-CN"/>
        </w:rPr>
        <w:fldChar w:fldCharType="end"/>
      </w:r>
      <w:r>
        <w:rPr>
          <w:rFonts w:hint="eastAsia" w:ascii="宋体" w:hAnsi="宋体" w:eastAsia="宋体" w:cs="宋体"/>
          <w:lang w:eastAsia="zh-CN"/>
        </w:rPr>
        <w:t>卷</w:t>
      </w:r>
      <w:r>
        <w:rPr>
          <w:rFonts w:eastAsia="宋体" w:cs="Verdana"/>
          <w:lang w:eastAsia="zh-CN"/>
        </w:rPr>
        <w:t>D</w:t>
      </w:r>
      <w:r>
        <w:rPr>
          <w:rFonts w:hint="eastAsia" w:ascii="宋体" w:hAnsi="宋体" w:eastAsia="宋体" w:cs="宋体"/>
          <w:lang w:eastAsia="zh-CN"/>
        </w:rPr>
        <w:t>部分——</w:t>
      </w:r>
      <w:r>
        <w:rPr>
          <w:rFonts w:eastAsia="宋体" w:cs="Verdana"/>
          <w:lang w:eastAsia="zh-CN"/>
        </w:rPr>
        <w:t>GBON</w:t>
      </w:r>
      <w:r>
        <w:rPr>
          <w:rFonts w:hint="eastAsia" w:ascii="宋体" w:hAnsi="宋体" w:eastAsia="宋体" w:cs="宋体"/>
          <w:lang w:eastAsia="zh-CN"/>
        </w:rPr>
        <w:t>参数报告规则</w:t>
      </w:r>
      <w:r>
        <w:rPr>
          <w:rFonts w:hint="eastAsia" w:ascii="宋体" w:hAnsi="宋体" w:eastAsia="宋体" w:cs="宋体"/>
          <w:i/>
          <w:iCs/>
          <w:lang w:eastAsia="zh-CN"/>
        </w:rPr>
        <w:t>（新出版物）</w:t>
      </w:r>
      <w:r>
        <w:rPr>
          <w:rFonts w:hint="eastAsia" w:ascii="宋体" w:hAnsi="宋体" w:eastAsia="宋体" w:cs="宋体"/>
          <w:lang w:eastAsia="zh-CN"/>
        </w:rPr>
        <w:t>。</w:t>
      </w:r>
    </w:p>
    <w:p>
      <w:pPr>
        <w:pStyle w:val="115"/>
        <w:outlineLvl w:val="2"/>
        <w:rPr>
          <w:rFonts w:eastAsia="宋体"/>
          <w:lang w:val="en-US" w:eastAsia="zh-CN"/>
        </w:rPr>
      </w:pPr>
      <w:r>
        <w:rPr>
          <w:lang w:eastAsia="zh-CN"/>
        </w:rPr>
        <w:t>6.2</w:t>
      </w:r>
      <w:r>
        <w:rPr>
          <w:lang w:eastAsia="zh-CN"/>
        </w:rPr>
        <w:tab/>
      </w:r>
      <w:bookmarkStart w:id="52" w:name="_p_BABED5CADA5FAF4693A28F5FD8174002"/>
      <w:bookmarkEnd w:id="52"/>
      <w:r>
        <w:rPr>
          <w:rFonts w:hint="eastAsia" w:ascii="微软雅黑" w:hAnsi="微软雅黑" w:eastAsia="微软雅黑" w:cs="微软雅黑"/>
          <w:lang w:eastAsia="zh-CN"/>
        </w:rPr>
        <w:t>其他</w:t>
      </w:r>
      <w:r>
        <w:rPr>
          <w:rFonts w:hint="eastAsia"/>
          <w:lang w:eastAsia="zh-CN"/>
        </w:rPr>
        <w:t>WIS</w:t>
      </w:r>
      <w:r>
        <w:rPr>
          <w:rFonts w:hint="eastAsia" w:ascii="微软雅黑" w:hAnsi="微软雅黑" w:eastAsia="微软雅黑" w:cs="微软雅黑"/>
          <w:lang w:val="en-US" w:eastAsia="zh-CN"/>
        </w:rPr>
        <w:t>指导意见</w:t>
      </w:r>
    </w:p>
    <w:p>
      <w:pPr>
        <w:shd w:val="clear" w:color="auto" w:fill="FFFFFF"/>
        <w:spacing w:after="240" w:line="240" w:lineRule="exact"/>
        <w:textAlignment w:val="baseline"/>
        <w:rPr>
          <w:rFonts w:eastAsia="Times New Roman" w:cs="Calibri"/>
          <w:color w:val="000000"/>
          <w:lang w:eastAsia="zh-CN"/>
        </w:rPr>
      </w:pPr>
      <w:r>
        <w:rPr>
          <w:rFonts w:hint="eastAsia" w:ascii="宋体" w:hAnsi="宋体" w:eastAsia="宋体" w:cs="宋体"/>
          <w:color w:val="000000"/>
          <w:lang w:eastAsia="zh-CN"/>
        </w:rPr>
        <w:t>根据决议</w:t>
      </w:r>
      <w:r>
        <w:rPr>
          <w:rFonts w:eastAsia="宋体" w:cs="Verdana"/>
          <w:color w:val="000000"/>
          <w:lang w:eastAsia="zh-CN"/>
        </w:rPr>
        <w:t>##/1(EC-76) - WIS 2.0</w:t>
      </w:r>
      <w:r>
        <w:rPr>
          <w:rFonts w:hint="eastAsia" w:ascii="宋体" w:hAnsi="宋体" w:eastAsia="宋体" w:cs="宋体"/>
          <w:color w:val="000000"/>
          <w:lang w:eastAsia="zh-CN"/>
        </w:rPr>
        <w:t>实施计划，要求各会员通过</w:t>
      </w:r>
      <w:r>
        <w:rPr>
          <w:rFonts w:eastAsia="宋体" w:cs="Verdana"/>
          <w:color w:val="000000"/>
          <w:lang w:eastAsia="zh-CN"/>
        </w:rPr>
        <w:t>GTS</w:t>
      </w:r>
      <w:r>
        <w:rPr>
          <w:rFonts w:hint="eastAsia" w:ascii="宋体" w:hAnsi="宋体" w:eastAsia="宋体" w:cs="宋体"/>
          <w:color w:val="000000"/>
          <w:lang w:eastAsia="zh-CN"/>
        </w:rPr>
        <w:t>和</w:t>
      </w:r>
      <w:r>
        <w:rPr>
          <w:rFonts w:eastAsia="宋体" w:cs="Verdana"/>
          <w:color w:val="000000"/>
          <w:lang w:eastAsia="zh-CN"/>
        </w:rPr>
        <w:t>WIS</w:t>
      </w:r>
      <w:r>
        <w:rPr>
          <w:rFonts w:hint="eastAsia" w:ascii="宋体" w:hAnsi="宋体" w:eastAsia="宋体" w:cs="宋体"/>
          <w:color w:val="000000"/>
          <w:lang w:eastAsia="zh-CN"/>
        </w:rPr>
        <w:t>交换</w:t>
      </w:r>
      <w:r>
        <w:rPr>
          <w:rFonts w:eastAsia="宋体" w:cs="Verdana"/>
          <w:color w:val="000000"/>
          <w:lang w:eastAsia="zh-CN"/>
        </w:rPr>
        <w:t>GBON</w:t>
      </w:r>
      <w:r>
        <w:rPr>
          <w:rFonts w:hint="eastAsia" w:ascii="宋体" w:hAnsi="宋体" w:eastAsia="宋体" w:cs="宋体"/>
          <w:color w:val="000000"/>
          <w:lang w:eastAsia="zh-CN"/>
        </w:rPr>
        <w:t>观测结果，直至</w:t>
      </w:r>
      <w:r>
        <w:rPr>
          <w:rFonts w:eastAsia="宋体" w:cs="Verdana"/>
          <w:color w:val="000000"/>
          <w:lang w:eastAsia="zh-CN"/>
        </w:rPr>
        <w:t>WIS 2.0</w:t>
      </w:r>
      <w:r>
        <w:rPr>
          <w:rFonts w:hint="eastAsia" w:ascii="宋体" w:hAnsi="宋体" w:eastAsia="宋体" w:cs="宋体"/>
          <w:color w:val="000000"/>
          <w:lang w:eastAsia="zh-CN"/>
        </w:rPr>
        <w:t>于</w:t>
      </w:r>
      <w:r>
        <w:rPr>
          <w:rFonts w:eastAsia="宋体" w:cs="Verdana"/>
          <w:color w:val="000000"/>
          <w:lang w:eastAsia="zh-CN"/>
        </w:rPr>
        <w:t>2024</w:t>
      </w:r>
      <w:r>
        <w:rPr>
          <w:rFonts w:hint="eastAsia" w:ascii="宋体" w:hAnsi="宋体" w:eastAsia="宋体" w:cs="宋体"/>
          <w:color w:val="000000"/>
          <w:lang w:eastAsia="zh-CN"/>
        </w:rPr>
        <w:t>年开始投入运行。建议从</w:t>
      </w:r>
      <w:r>
        <w:rPr>
          <w:rFonts w:eastAsia="宋体" w:cs="Verdana"/>
          <w:color w:val="000000"/>
          <w:lang w:eastAsia="zh-CN"/>
        </w:rPr>
        <w:t>2023</w:t>
      </w:r>
      <w:r>
        <w:rPr>
          <w:rFonts w:hint="eastAsia" w:ascii="宋体" w:hAnsi="宋体" w:eastAsia="宋体" w:cs="宋体"/>
          <w:color w:val="000000"/>
          <w:lang w:eastAsia="zh-CN"/>
        </w:rPr>
        <w:t>年试点阶段开始，通过</w:t>
      </w:r>
      <w:r>
        <w:rPr>
          <w:rFonts w:eastAsia="宋体" w:cs="Verdana"/>
          <w:color w:val="000000"/>
          <w:lang w:eastAsia="zh-CN"/>
        </w:rPr>
        <w:t>GTS</w:t>
      </w:r>
      <w:r>
        <w:rPr>
          <w:rFonts w:hint="eastAsia" w:ascii="宋体" w:hAnsi="宋体" w:eastAsia="宋体" w:cs="宋体"/>
          <w:color w:val="000000"/>
          <w:lang w:eastAsia="zh-CN"/>
        </w:rPr>
        <w:t>和</w:t>
      </w:r>
      <w:r>
        <w:rPr>
          <w:rFonts w:eastAsia="宋体" w:cs="Verdana"/>
          <w:color w:val="000000"/>
          <w:lang w:eastAsia="zh-CN"/>
        </w:rPr>
        <w:t>WIS 2.0</w:t>
      </w:r>
      <w:r>
        <w:rPr>
          <w:rFonts w:hint="eastAsia" w:ascii="宋体" w:hAnsi="宋体" w:eastAsia="宋体" w:cs="宋体"/>
          <w:color w:val="000000"/>
          <w:lang w:eastAsia="zh-CN"/>
        </w:rPr>
        <w:t>并行分发数据。</w:t>
      </w:r>
    </w:p>
    <w:p>
      <w:pPr>
        <w:shd w:val="clear" w:color="auto" w:fill="FFFFFF"/>
        <w:spacing w:after="240" w:line="240" w:lineRule="exact"/>
        <w:textAlignment w:val="baseline"/>
        <w:rPr>
          <w:rFonts w:eastAsia="Times New Roman" w:cs="Calibri"/>
          <w:color w:val="000000"/>
          <w:lang w:eastAsia="zh-CN"/>
        </w:rPr>
      </w:pPr>
      <w:r>
        <w:rPr>
          <w:rFonts w:hint="eastAsia" w:ascii="宋体" w:hAnsi="宋体" w:eastAsia="宋体" w:cs="宋体"/>
          <w:lang w:val="en-US" w:eastAsia="zh-CN"/>
        </w:rPr>
        <w:t>请各会员按照</w:t>
      </w:r>
      <w:r>
        <w:fldChar w:fldCharType="begin"/>
      </w:r>
      <w:r>
        <w:rPr>
          <w:lang w:eastAsia="zh-CN"/>
        </w:rPr>
        <w:instrText xml:space="preserve">HYPERLINK "https://library.wmo.int/index.php?lvl=notice_display&amp;id=21811" \l ".Y-eWN8dBybg"</w:instrText>
      </w:r>
      <w:r>
        <w:fldChar w:fldCharType="separate"/>
      </w:r>
      <w:r>
        <w:rPr>
          <w:rStyle w:val="43"/>
          <w:rFonts w:hint="eastAsia" w:ascii="宋体" w:hAnsi="宋体" w:eastAsia="宋体" w:cs="宋体"/>
          <w:lang w:val="en-US" w:eastAsia="zh-CN"/>
        </w:rPr>
        <w:t>《全球电信系统手册》</w:t>
      </w:r>
      <w:r>
        <w:rPr>
          <w:rStyle w:val="43"/>
          <w:rFonts w:ascii="宋体" w:hAnsi="宋体" w:eastAsia="宋体" w:cs="宋体"/>
          <w:lang w:val="en-US" w:eastAsia="zh-CN"/>
        </w:rPr>
        <w:fldChar w:fldCharType="end"/>
      </w:r>
      <w:r>
        <w:rPr>
          <w:rFonts w:hint="eastAsia" w:ascii="宋体" w:hAnsi="宋体" w:eastAsia="宋体" w:cs="宋体"/>
          <w:lang w:val="en-US" w:eastAsia="zh-CN"/>
        </w:rPr>
        <w:t>（</w:t>
      </w:r>
      <w:r>
        <w:rPr>
          <w:rFonts w:eastAsia="宋体" w:cs="Verdana"/>
          <w:lang w:eastAsia="zh-CN"/>
        </w:rPr>
        <w:t>WMO</w:t>
      </w:r>
      <w:r>
        <w:rPr>
          <w:rFonts w:eastAsia="宋体" w:cs="Verdana"/>
          <w:lang w:eastAsia="zh-CN"/>
        </w:rPr>
        <w:noBreakHyphen/>
      </w:r>
      <w:r>
        <w:rPr>
          <w:rFonts w:eastAsia="宋体" w:cs="Verdana"/>
          <w:lang w:eastAsia="zh-CN"/>
        </w:rPr>
        <w:t>No. 386</w:t>
      </w:r>
      <w:r>
        <w:rPr>
          <w:rFonts w:hint="eastAsia" w:ascii="宋体" w:hAnsi="宋体" w:eastAsia="宋体" w:cs="宋体"/>
          <w:lang w:eastAsia="zh-CN"/>
        </w:rPr>
        <w:t>）、</w:t>
      </w:r>
      <w:bookmarkStart w:id="53" w:name="OLE_LINK11"/>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"https://library.wmo.int/index.php?lvl=notice_display&amp;id=9298" \l ".Y-eVrsdBybg" </w:instrText>
      </w:r>
      <w:r>
        <w:rPr>
          <w:rFonts w:hint="eastAsia" w:ascii="宋体" w:hAnsi="宋体" w:eastAsia="宋体" w:cs="宋体"/>
          <w:lang w:eastAsia="zh-CN"/>
        </w:rPr>
        <w:fldChar w:fldCharType="separate"/>
      </w:r>
      <w:r>
        <w:rPr>
          <w:rStyle w:val="43"/>
          <w:rFonts w:hint="eastAsia" w:ascii="宋体" w:hAnsi="宋体" w:eastAsia="宋体" w:cs="宋体"/>
          <w:lang w:eastAsia="zh-CN"/>
        </w:rPr>
        <w:t>《</w:t>
      </w:r>
      <w:r>
        <w:rPr>
          <w:rStyle w:val="43"/>
          <w:rFonts w:eastAsia="宋体" w:cs="Verdana"/>
          <w:lang w:eastAsia="zh-CN"/>
        </w:rPr>
        <w:t>WMO</w:t>
      </w:r>
      <w:r>
        <w:rPr>
          <w:rStyle w:val="43"/>
          <w:rFonts w:hint="eastAsia" w:ascii="宋体" w:hAnsi="宋体" w:eastAsia="宋体" w:cs="宋体"/>
          <w:lang w:eastAsia="zh-CN"/>
        </w:rPr>
        <w:t>信息系统手册》</w:t>
      </w:r>
      <w:r>
        <w:rPr>
          <w:rFonts w:hint="eastAsia" w:ascii="宋体" w:hAnsi="宋体" w:eastAsia="宋体" w:cs="宋体"/>
          <w:lang w:eastAsia="zh-CN"/>
        </w:rPr>
        <w:fldChar w:fldCharType="end"/>
      </w:r>
      <w:bookmarkEnd w:id="53"/>
      <w:r>
        <w:rPr>
          <w:rStyle w:val="204"/>
          <w:rFonts w:hint="eastAsia" w:ascii="宋体" w:hAnsi="宋体" w:eastAsia="宋体" w:cs="宋体"/>
          <w:i w:val="0"/>
          <w:iCs/>
          <w:lang w:val="en-US" w:eastAsia="zh-CN"/>
        </w:rPr>
        <w:t>（</w:t>
      </w:r>
      <w:r>
        <w:rPr>
          <w:rFonts w:eastAsia="宋体" w:cs="Verdana"/>
          <w:lang w:eastAsia="zh-CN"/>
        </w:rPr>
        <w:t>WMO</w:t>
      </w:r>
      <w:r>
        <w:rPr>
          <w:rFonts w:eastAsia="宋体" w:cs="Verdana"/>
          <w:lang w:eastAsia="zh-CN"/>
        </w:rPr>
        <w:noBreakHyphen/>
      </w:r>
      <w:r>
        <w:rPr>
          <w:rFonts w:eastAsia="宋体" w:cs="Verdana"/>
          <w:lang w:eastAsia="zh-CN"/>
        </w:rPr>
        <w:t>No. 1060</w:t>
      </w:r>
      <w:r>
        <w:rPr>
          <w:rFonts w:hint="eastAsia" w:ascii="宋体" w:hAnsi="宋体" w:eastAsia="宋体" w:cs="宋体"/>
          <w:lang w:eastAsia="zh-CN"/>
        </w:rPr>
        <w:t>）</w:t>
      </w:r>
      <w:r>
        <w:rPr>
          <w:rFonts w:hint="eastAsia" w:eastAsia="宋体" w:cs="Calibri"/>
          <w:color w:val="000000"/>
          <w:lang w:val="en-US" w:eastAsia="zh-CN"/>
        </w:rPr>
        <w:t>第一卷的规定，通过GTS和WIS交换GBON观测资料。</w:t>
      </w:r>
    </w:p>
    <w:p>
      <w:pPr>
        <w:shd w:val="clear" w:color="auto" w:fill="FFFFFF"/>
        <w:spacing w:after="240" w:line="240" w:lineRule="exact"/>
        <w:textAlignment w:val="baseline"/>
        <w:rPr>
          <w:rFonts w:ascii="宋体" w:hAnsi="宋体" w:eastAsia="宋体" w:cs="宋体"/>
          <w:color w:val="000000"/>
        </w:rPr>
      </w:pPr>
      <w:r>
        <w:rPr>
          <w:rFonts w:hint="eastAsia" w:ascii="宋体" w:hAnsi="宋体" w:eastAsia="宋体" w:cs="宋体"/>
          <w:color w:val="000000"/>
        </w:rPr>
        <w:t>更多详情参见</w:t>
      </w:r>
      <w:r>
        <w:rPr>
          <w:rFonts w:hint="eastAsia" w:ascii="宋体" w:hAnsi="宋体" w:eastAsia="宋体" w:cs="宋体"/>
          <w:color w:val="000000"/>
        </w:rPr>
        <w:fldChar w:fldCharType="begin"/>
      </w:r>
      <w:r>
        <w:rPr>
          <w:rFonts w:hint="eastAsia" w:ascii="宋体" w:hAnsi="宋体" w:eastAsia="宋体" w:cs="宋体"/>
          <w:color w:val="000000"/>
        </w:rPr>
        <w:instrText xml:space="preserve"> HYPERLINK "https://library.wmo.int/index.php?lvl=notice_display&amp;id=15858" \l ".Y-g9McdBybg" </w:instrText>
      </w:r>
      <w:r>
        <w:rPr>
          <w:rFonts w:hint="eastAsia" w:ascii="宋体" w:hAnsi="宋体" w:eastAsia="宋体" w:cs="宋体"/>
          <w:color w:val="000000"/>
        </w:rPr>
        <w:fldChar w:fldCharType="separate"/>
      </w:r>
      <w:r>
        <w:rPr>
          <w:rStyle w:val="43"/>
          <w:rFonts w:hint="eastAsia" w:ascii="宋体" w:hAnsi="宋体" w:eastAsia="宋体" w:cs="宋体"/>
          <w:color w:val="000000"/>
        </w:rPr>
        <w:t>《</w:t>
      </w:r>
      <w:r>
        <w:rPr>
          <w:rStyle w:val="43"/>
          <w:rFonts w:eastAsia="宋体" w:cs="Verdana"/>
          <w:color w:val="000000"/>
        </w:rPr>
        <w:t>WMO</w:t>
      </w:r>
      <w:r>
        <w:rPr>
          <w:rStyle w:val="43"/>
          <w:rFonts w:hint="eastAsia" w:ascii="宋体" w:hAnsi="宋体" w:eastAsia="宋体" w:cs="宋体"/>
          <w:color w:val="000000"/>
        </w:rPr>
        <w:t>信息系统指南》</w:t>
      </w:r>
      <w:r>
        <w:rPr>
          <w:rFonts w:hint="eastAsia" w:ascii="宋体" w:hAnsi="宋体" w:eastAsia="宋体" w:cs="宋体"/>
          <w:color w:val="000000"/>
        </w:rPr>
        <w:fldChar w:fldCharType="end"/>
      </w:r>
      <w:r>
        <w:rPr>
          <w:rFonts w:hint="eastAsia" w:ascii="宋体" w:hAnsi="宋体" w:eastAsia="宋体" w:cs="宋体"/>
          <w:color w:val="000000"/>
        </w:rPr>
        <w:t>（</w:t>
      </w:r>
      <w:r>
        <w:rPr>
          <w:rFonts w:eastAsia="宋体" w:cs="Verdana"/>
          <w:color w:val="000000"/>
        </w:rPr>
        <w:t>WMO-No. 1061</w:t>
      </w:r>
      <w:r>
        <w:rPr>
          <w:rFonts w:hint="eastAsia" w:ascii="宋体" w:hAnsi="宋体" w:eastAsia="宋体" w:cs="宋体"/>
          <w:color w:val="000000"/>
        </w:rPr>
        <w:t>）。</w:t>
      </w:r>
    </w:p>
    <w:p>
      <w:pPr>
        <w:shd w:val="clear" w:color="auto" w:fill="FFFFFF"/>
        <w:spacing w:after="240" w:line="240" w:lineRule="exact"/>
        <w:textAlignment w:val="baseline"/>
        <w:rPr>
          <w:rFonts w:ascii="宋体" w:hAnsi="宋体" w:eastAsia="宋体" w:cs="宋体"/>
          <w:color w:val="000000"/>
        </w:rPr>
      </w:pPr>
      <w:r>
        <w:rPr>
          <w:rFonts w:hint="eastAsia" w:ascii="宋体" w:hAnsi="宋体" w:eastAsia="宋体" w:cs="宋体"/>
          <w:color w:val="000000"/>
          <w:lang w:eastAsia="zh-CN"/>
        </w:rPr>
        <w:t>通过</w:t>
      </w:r>
      <w:r>
        <w:rPr>
          <w:rFonts w:eastAsia="宋体" w:cs="Verdana"/>
          <w:color w:val="000000"/>
          <w:lang w:eastAsia="zh-CN"/>
        </w:rPr>
        <w:t>WIS 2.0</w:t>
      </w:r>
      <w:r>
        <w:rPr>
          <w:rFonts w:hint="eastAsia" w:ascii="宋体" w:hAnsi="宋体" w:eastAsia="宋体" w:cs="宋体"/>
          <w:color w:val="000000"/>
          <w:lang w:eastAsia="zh-CN"/>
        </w:rPr>
        <w:t>交换</w:t>
      </w:r>
      <w:r>
        <w:rPr>
          <w:rFonts w:eastAsia="宋体" w:cs="Verdana"/>
          <w:color w:val="000000"/>
          <w:lang w:eastAsia="zh-CN"/>
        </w:rPr>
        <w:t>GBON</w:t>
      </w:r>
      <w:r>
        <w:rPr>
          <w:rFonts w:hint="eastAsia" w:ascii="宋体" w:hAnsi="宋体" w:eastAsia="宋体" w:cs="宋体"/>
          <w:color w:val="000000"/>
          <w:lang w:eastAsia="zh-CN"/>
        </w:rPr>
        <w:t>观测数据的具体规定参见</w:t>
      </w: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"https://library.wmo.int/index.php?lvl=notice_display&amp;id=9298" \l ".Y-eVrsdBybg" </w:instrText>
      </w:r>
      <w:r>
        <w:rPr>
          <w:rFonts w:hint="eastAsia" w:ascii="宋体" w:hAnsi="宋体" w:eastAsia="宋体" w:cs="宋体"/>
          <w:lang w:eastAsia="zh-CN"/>
        </w:rPr>
        <w:fldChar w:fldCharType="separate"/>
      </w:r>
      <w:r>
        <w:rPr>
          <w:rStyle w:val="43"/>
          <w:rFonts w:hint="eastAsia" w:ascii="宋体" w:hAnsi="宋体" w:eastAsia="宋体" w:cs="宋体"/>
          <w:lang w:eastAsia="zh-CN"/>
        </w:rPr>
        <w:t>《</w:t>
      </w:r>
      <w:r>
        <w:rPr>
          <w:rStyle w:val="43"/>
          <w:rFonts w:eastAsia="宋体" w:cs="Verdana"/>
          <w:lang w:eastAsia="zh-CN"/>
        </w:rPr>
        <w:t>WMO</w:t>
      </w:r>
      <w:r>
        <w:rPr>
          <w:rStyle w:val="43"/>
          <w:rFonts w:hint="eastAsia" w:ascii="宋体" w:hAnsi="宋体" w:eastAsia="宋体" w:cs="宋体"/>
          <w:lang w:eastAsia="zh-CN"/>
        </w:rPr>
        <w:t>信息系统手册》</w:t>
      </w:r>
      <w:r>
        <w:rPr>
          <w:rFonts w:hint="eastAsia" w:ascii="宋体" w:hAnsi="宋体" w:eastAsia="宋体" w:cs="宋体"/>
          <w:lang w:eastAsia="zh-CN"/>
        </w:rPr>
        <w:fldChar w:fldCharType="end"/>
      </w:r>
      <w:r>
        <w:rPr>
          <w:rFonts w:hint="eastAsia" w:ascii="宋体" w:hAnsi="宋体" w:eastAsia="宋体" w:cs="宋体"/>
          <w:color w:val="000000"/>
          <w:lang w:eastAsia="zh-CN"/>
        </w:rPr>
        <w:t>（</w:t>
      </w:r>
      <w:r>
        <w:rPr>
          <w:rFonts w:eastAsia="宋体" w:cs="Verdana"/>
          <w:color w:val="000000"/>
          <w:lang w:eastAsia="zh-CN"/>
        </w:rPr>
        <w:t xml:space="preserve">WMO-No. </w:t>
      </w:r>
      <w:r>
        <w:rPr>
          <w:rFonts w:eastAsia="宋体" w:cs="Verdana"/>
          <w:color w:val="000000"/>
        </w:rPr>
        <w:t>1060</w:t>
      </w:r>
      <w:r>
        <w:rPr>
          <w:rFonts w:hint="eastAsia" w:ascii="宋体" w:hAnsi="宋体" w:eastAsia="宋体" w:cs="宋体"/>
          <w:color w:val="000000"/>
        </w:rPr>
        <w:t>）第二卷。</w:t>
      </w:r>
    </w:p>
    <w:p>
      <w:pPr>
        <w:pStyle w:val="2"/>
      </w:pPr>
    </w:p>
    <w:p>
      <w:pPr>
        <w:pStyle w:val="106"/>
        <w:outlineLvl w:val="1"/>
        <w:rPr>
          <w:rFonts w:ascii="微软雅黑" w:hAnsi="微软雅黑" w:eastAsia="微软雅黑" w:cs="微软雅黑"/>
          <w:highlight w:val="yellow"/>
        </w:rPr>
      </w:pPr>
      <w:bookmarkStart w:id="54" w:name="_p_2695AE64FDE8FF4199F7500F229C2482"/>
      <w:bookmarkEnd w:id="54"/>
      <w:r>
        <w:t xml:space="preserve">7. </w:t>
      </w:r>
      <w:r>
        <w:tab/>
      </w:r>
      <w:r>
        <w:rPr>
          <w:rFonts w:hint="eastAsia" w:eastAsia="宋体"/>
          <w:lang w:eastAsia="zh-CN"/>
        </w:rPr>
        <w:t>OSCAR/</w:t>
      </w:r>
      <w:r>
        <w:rPr>
          <w:rFonts w:hint="eastAsia" w:ascii="微软雅黑" w:hAnsi="微软雅黑" w:eastAsia="微软雅黑" w:cs="微软雅黑"/>
          <w:lang w:eastAsia="zh-CN"/>
        </w:rPr>
        <w:t>地表</w:t>
      </w:r>
      <w:r>
        <w:rPr>
          <w:rFonts w:hint="eastAsia" w:ascii="微软雅黑" w:hAnsi="微软雅黑" w:eastAsia="微软雅黑" w:cs="微软雅黑"/>
        </w:rPr>
        <w:t>中的</w:t>
      </w:r>
      <w:r>
        <w:rPr>
          <w:rFonts w:hint="eastAsia"/>
        </w:rPr>
        <w:t>GBON</w:t>
      </w:r>
      <w:r>
        <w:rPr>
          <w:rFonts w:hint="eastAsia" w:ascii="微软雅黑" w:hAnsi="微软雅黑" w:eastAsia="微软雅黑" w:cs="微软雅黑"/>
        </w:rPr>
        <w:t>特定元数据</w:t>
      </w:r>
    </w:p>
    <w:p>
      <w:pPr>
        <w:spacing w:before="480" w:after="200" w:line="276" w:lineRule="auto"/>
        <w:outlineLvl w:val="2"/>
        <w:rPr>
          <w:rStyle w:val="338"/>
          <w:rFonts w:ascii="微软雅黑" w:hAnsi="微软雅黑" w:eastAsia="微软雅黑" w:cs="微软雅黑"/>
          <w:b/>
          <w:bCs/>
          <w:lang w:val="en-US" w:eastAsia="zh-CN"/>
        </w:rPr>
      </w:pPr>
      <w:r>
        <w:rPr>
          <w:rStyle w:val="338"/>
          <w:rFonts w:eastAsia="Verdana" w:cs="Verdana"/>
          <w:b/>
          <w:bCs/>
        </w:rPr>
        <w:t>7.1</w:t>
      </w:r>
      <w:r>
        <w:rPr>
          <w:rStyle w:val="338"/>
          <w:rFonts w:eastAsia="Verdana" w:cs="Verdana"/>
          <w:b/>
          <w:bCs/>
        </w:rPr>
        <w:tab/>
      </w:r>
      <w:r>
        <w:rPr>
          <w:rStyle w:val="338"/>
          <w:rFonts w:hint="eastAsia" w:ascii="微软雅黑" w:hAnsi="微软雅黑" w:eastAsia="微软雅黑" w:cs="微软雅黑"/>
          <w:b/>
          <w:bCs/>
          <w:lang w:val="en-US" w:eastAsia="zh-CN"/>
        </w:rPr>
        <w:t>导言</w:t>
      </w:r>
    </w:p>
    <w:p>
      <w:pPr>
        <w:spacing w:after="240" w:line="240" w:lineRule="exact"/>
        <w:rPr>
          <w:rStyle w:val="338"/>
          <w:color w:val="000000"/>
          <w:shd w:val="clear" w:color="auto" w:fill="FFFFFF"/>
        </w:rPr>
      </w:pPr>
      <w:r>
        <w:rPr>
          <w:rStyle w:val="338"/>
          <w:rFonts w:hint="eastAsia" w:eastAsia="宋体"/>
          <w:color w:val="000000"/>
          <w:shd w:val="clear" w:color="auto" w:fill="FFFFFF"/>
          <w:lang w:val="en-US" w:eastAsia="zh-CN"/>
        </w:rPr>
        <w:t>根据</w:t>
      </w: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"https://library.wmo.int/index.php?lvl=notice_display&amp;id=19620" \l ".Y-eVBMdBybg" </w:instrText>
      </w:r>
      <w:r>
        <w:rPr>
          <w:rFonts w:hint="eastAsia" w:ascii="宋体" w:hAnsi="宋体" w:eastAsia="宋体" w:cs="宋体"/>
          <w:lang w:eastAsia="zh-CN"/>
        </w:rPr>
        <w:fldChar w:fldCharType="separate"/>
      </w:r>
      <w:r>
        <w:rPr>
          <w:rStyle w:val="43"/>
          <w:rFonts w:hint="eastAsia" w:ascii="宋体" w:hAnsi="宋体" w:eastAsia="宋体" w:cs="宋体"/>
          <w:lang w:eastAsia="zh-CN"/>
        </w:rPr>
        <w:t>《</w:t>
      </w:r>
      <w:r>
        <w:rPr>
          <w:rStyle w:val="43"/>
          <w:rFonts w:eastAsia="宋体" w:cs="Verdana"/>
          <w:lang w:eastAsia="zh-CN"/>
        </w:rPr>
        <w:t>WMO</w:t>
      </w:r>
      <w:r>
        <w:rPr>
          <w:rStyle w:val="43"/>
          <w:rFonts w:hint="eastAsia" w:ascii="宋体" w:hAnsi="宋体" w:eastAsia="宋体" w:cs="宋体"/>
          <w:lang w:eastAsia="zh-CN"/>
        </w:rPr>
        <w:t>全球综合观测系统手册》</w:t>
      </w:r>
      <w:r>
        <w:rPr>
          <w:rFonts w:hint="eastAsia" w:ascii="宋体" w:hAnsi="宋体" w:eastAsia="宋体" w:cs="宋体"/>
          <w:lang w:eastAsia="zh-CN"/>
        </w:rPr>
        <w:fldChar w:fldCharType="end"/>
      </w:r>
      <w:r>
        <w:rPr>
          <w:rFonts w:hint="eastAsia" w:ascii="宋体" w:hAnsi="宋体" w:eastAsia="宋体" w:cs="宋体"/>
          <w:lang w:eastAsia="zh-CN"/>
        </w:rPr>
        <w:t>（</w:t>
      </w:r>
      <w:r>
        <w:rPr>
          <w:rFonts w:eastAsia="宋体" w:cs="Verdana"/>
        </w:rPr>
        <w:t>WMO</w:t>
      </w:r>
      <w:r>
        <w:rPr>
          <w:rFonts w:eastAsia="宋体" w:cs="Verdana"/>
        </w:rPr>
        <w:noBreakHyphen/>
      </w:r>
      <w:r>
        <w:rPr>
          <w:rFonts w:eastAsia="宋体" w:cs="Verdana"/>
        </w:rPr>
        <w:t>No. 1160</w:t>
      </w:r>
      <w:r>
        <w:rPr>
          <w:rFonts w:hint="eastAsia" w:ascii="宋体" w:hAnsi="宋体" w:eastAsia="宋体" w:cs="宋体"/>
          <w:lang w:eastAsia="zh-CN"/>
        </w:rPr>
        <w:t>）</w:t>
      </w:r>
      <w:r>
        <w:rPr>
          <w:rFonts w:hint="eastAsia" w:ascii="宋体" w:hAnsi="宋体" w:eastAsia="宋体" w:cs="宋体"/>
          <w:lang w:val="en-US" w:eastAsia="zh-CN"/>
        </w:rPr>
        <w:t>和</w:t>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"https://library.wmo.int/index.php?lvl=notice_display&amp;id=20005" \l ".Y-g-ccdBybg" </w:instrText>
      </w:r>
      <w:r>
        <w:rPr>
          <w:rFonts w:hint="eastAsia" w:ascii="宋体" w:hAnsi="宋体" w:eastAsia="宋体" w:cs="宋体"/>
          <w:lang w:val="en-US" w:eastAsia="zh-CN"/>
        </w:rPr>
        <w:fldChar w:fldCharType="separate"/>
      </w:r>
      <w:r>
        <w:rPr>
          <w:rStyle w:val="43"/>
          <w:rFonts w:hint="eastAsia" w:ascii="宋体" w:hAnsi="宋体" w:eastAsia="宋体" w:cs="宋体"/>
          <w:lang w:val="en-US" w:eastAsia="zh-CN"/>
        </w:rPr>
        <w:t>《</w:t>
      </w:r>
      <w:r>
        <w:rPr>
          <w:rStyle w:val="43"/>
          <w:rFonts w:eastAsia="宋体" w:cs="Verdana"/>
          <w:lang w:val="en-US" w:eastAsia="zh-CN"/>
        </w:rPr>
        <w:t>WIGOS</w:t>
      </w:r>
      <w:r>
        <w:rPr>
          <w:rStyle w:val="43"/>
          <w:rFonts w:hint="eastAsia" w:ascii="宋体" w:hAnsi="宋体" w:eastAsia="宋体" w:cs="宋体"/>
          <w:lang w:val="en-US" w:eastAsia="zh-CN"/>
        </w:rPr>
        <w:t>元数据标准》</w:t>
      </w:r>
      <w:r>
        <w:rPr>
          <w:rFonts w:hint="eastAsia" w:ascii="宋体" w:hAnsi="宋体" w:eastAsia="宋体" w:cs="宋体"/>
          <w:lang w:val="en-US" w:eastAsia="zh-CN"/>
        </w:rPr>
        <w:fldChar w:fldCharType="end"/>
      </w:r>
      <w:r>
        <w:rPr>
          <w:rFonts w:hint="eastAsia" w:ascii="宋体" w:hAnsi="宋体" w:eastAsia="宋体" w:cs="宋体"/>
          <w:lang w:val="en-US" w:eastAsia="zh-CN"/>
        </w:rPr>
        <w:t>（</w:t>
      </w:r>
      <w:r>
        <w:rPr>
          <w:rFonts w:eastAsia="宋体" w:cs="Verdana"/>
          <w:lang w:val="en-US" w:eastAsia="zh-CN"/>
        </w:rPr>
        <w:t>WMO-No. 1192</w:t>
      </w:r>
      <w:r>
        <w:rPr>
          <w:rFonts w:hint="eastAsia" w:ascii="宋体" w:hAnsi="宋体" w:eastAsia="宋体" w:cs="宋体"/>
          <w:lang w:val="en-US" w:eastAsia="zh-CN"/>
        </w:rPr>
        <w:t>），</w:t>
      </w:r>
      <w:bookmarkStart w:id="55" w:name="_Hlk122342808"/>
      <w:r>
        <w:fldChar w:fldCharType="begin"/>
      </w:r>
      <w:r>
        <w:instrText xml:space="preserve"> HYPERLINK "https://oscar.wmo.int/surface/" </w:instrText>
      </w:r>
      <w:r>
        <w:fldChar w:fldCharType="separate"/>
      </w:r>
      <w:r>
        <w:rPr>
          <w:rStyle w:val="43"/>
          <w:rFonts w:hint="eastAsia" w:eastAsia="宋体"/>
          <w:lang w:eastAsia="zh-CN"/>
        </w:rPr>
        <w:t>OSCAR/地表</w:t>
      </w:r>
      <w:r>
        <w:rPr>
          <w:rStyle w:val="43"/>
        </w:rPr>
        <w:fldChar w:fldCharType="end"/>
      </w:r>
      <w:bookmarkEnd w:id="55"/>
      <w:r>
        <w:rPr>
          <w:rFonts w:hint="eastAsia" w:ascii="宋体" w:hAnsi="宋体" w:eastAsia="宋体" w:cs="宋体"/>
          <w:lang w:val="en-US" w:eastAsia="zh-CN"/>
        </w:rPr>
        <w:t>是</w:t>
      </w:r>
      <w:r>
        <w:rPr>
          <w:rFonts w:hint="eastAsia" w:eastAsia="宋体" w:cs="Verdana"/>
          <w:lang w:val="en-US" w:eastAsia="zh-CN"/>
        </w:rPr>
        <w:t>来自</w:t>
      </w:r>
      <w:r>
        <w:rPr>
          <w:rFonts w:hint="eastAsia" w:ascii="宋体" w:hAnsi="宋体" w:eastAsia="宋体" w:cs="宋体"/>
          <w:lang w:val="en-US" w:eastAsia="zh-CN"/>
        </w:rPr>
        <w:t>所有地基台站/平台的</w:t>
      </w:r>
      <w:r>
        <w:rPr>
          <w:rFonts w:eastAsia="宋体" w:cs="Verdana"/>
          <w:lang w:val="en-US" w:eastAsia="zh-CN"/>
        </w:rPr>
        <w:t>WIGOS</w:t>
      </w:r>
      <w:r>
        <w:rPr>
          <w:rFonts w:hint="eastAsia" w:ascii="宋体" w:hAnsi="宋体" w:eastAsia="宋体" w:cs="宋体"/>
          <w:lang w:val="en-US" w:eastAsia="zh-CN"/>
        </w:rPr>
        <w:t>元数据的正式信息来源，以记录和保存所有当前和历史</w:t>
      </w:r>
      <w:r>
        <w:rPr>
          <w:rFonts w:eastAsia="宋体" w:cs="Verdana"/>
          <w:lang w:val="en-US" w:eastAsia="zh-CN"/>
        </w:rPr>
        <w:t>WIGOS</w:t>
      </w:r>
      <w:r>
        <w:rPr>
          <w:rFonts w:hint="eastAsia" w:ascii="宋体" w:hAnsi="宋体" w:eastAsia="宋体" w:cs="宋体"/>
          <w:lang w:val="en-US" w:eastAsia="zh-CN"/>
        </w:rPr>
        <w:t>元数据。</w:t>
      </w:r>
    </w:p>
    <w:p>
      <w:pPr>
        <w:spacing w:before="120" w:after="240" w:line="240" w:lineRule="exact"/>
        <w:rPr>
          <w:rStyle w:val="338"/>
          <w:color w:val="000000"/>
          <w:shd w:val="clear" w:color="auto" w:fill="FFFFFF"/>
        </w:rPr>
      </w:pPr>
      <w:r>
        <w:fldChar w:fldCharType="begin"/>
      </w:r>
      <w:r>
        <w:instrText xml:space="preserve"> HYPERLINK "https://library.wmo.int/index.php?lvl=notice_display&amp;id=21675" \l ".Y-g_FMdBybg" </w:instrText>
      </w:r>
      <w:r>
        <w:fldChar w:fldCharType="separate"/>
      </w:r>
      <w:r>
        <w:rPr>
          <w:rStyle w:val="43"/>
          <w:rFonts w:hint="eastAsia" w:eastAsia="宋体"/>
          <w:color w:val="000000"/>
          <w:shd w:val="clear" w:color="auto" w:fill="FFFFFF"/>
          <w:lang w:eastAsia="zh-CN"/>
        </w:rPr>
        <w:t>《OSCAR/地表用户手册》</w:t>
      </w:r>
      <w:r>
        <w:rPr>
          <w:rStyle w:val="43"/>
          <w:rFonts w:hint="eastAsia" w:eastAsia="宋体"/>
          <w:color w:val="000000"/>
          <w:shd w:val="clear" w:color="auto" w:fill="FFFFFF"/>
          <w:lang w:eastAsia="zh-CN"/>
        </w:rPr>
        <w:fldChar w:fldCharType="end"/>
      </w:r>
      <w:r>
        <w:rPr>
          <w:rStyle w:val="338"/>
          <w:rFonts w:hint="eastAsia" w:eastAsia="宋体"/>
          <w:color w:val="000000"/>
          <w:shd w:val="clear" w:color="auto" w:fill="FFFFFF"/>
          <w:lang w:eastAsia="zh-CN"/>
        </w:rPr>
        <w:t>以WMO各种语言在线提供；本节不打算重复</w:t>
      </w:r>
      <w:r>
        <w:rPr>
          <w:rFonts w:hint="eastAsia" w:eastAsia="宋体"/>
          <w:color w:val="000000"/>
          <w:shd w:val="clear" w:color="auto" w:fill="FFFFFF"/>
          <w:lang w:eastAsia="zh-CN"/>
        </w:rPr>
        <w:fldChar w:fldCharType="begin"/>
      </w:r>
      <w:r>
        <w:rPr>
          <w:rFonts w:hint="eastAsia" w:eastAsia="宋体"/>
          <w:color w:val="000000"/>
          <w:shd w:val="clear" w:color="auto" w:fill="FFFFFF"/>
          <w:lang w:eastAsia="zh-CN"/>
        </w:rPr>
        <w:instrText xml:space="preserve"> HYPERLINK "https://library.wmo.int/index.php?lvl=notice_display&amp;id=21675" \l ".Y-g_FMdBybg" </w:instrText>
      </w:r>
      <w:r>
        <w:rPr>
          <w:rFonts w:hint="eastAsia" w:eastAsia="宋体"/>
          <w:color w:val="000000"/>
          <w:shd w:val="clear" w:color="auto" w:fill="FFFFFF"/>
          <w:lang w:eastAsia="zh-CN"/>
        </w:rPr>
        <w:fldChar w:fldCharType="separate"/>
      </w:r>
      <w:r>
        <w:rPr>
          <w:rStyle w:val="43"/>
          <w:rFonts w:hint="eastAsia" w:eastAsia="宋体"/>
          <w:color w:val="000000"/>
          <w:shd w:val="clear" w:color="auto" w:fill="FFFFFF"/>
          <w:lang w:eastAsia="zh-CN"/>
        </w:rPr>
        <w:t>《</w:t>
      </w:r>
      <w:bookmarkStart w:id="92" w:name="_GoBack"/>
      <w:r>
        <w:rPr>
          <w:rStyle w:val="43"/>
          <w:rFonts w:hint="eastAsia" w:eastAsia="宋体"/>
          <w:color w:val="000000"/>
          <w:shd w:val="clear" w:color="auto" w:fill="FFFFFF"/>
          <w:lang w:eastAsia="zh-CN"/>
        </w:rPr>
        <w:t>OSCAR/地表</w:t>
      </w:r>
      <w:bookmarkEnd w:id="92"/>
      <w:r>
        <w:rPr>
          <w:rStyle w:val="43"/>
          <w:rFonts w:hint="eastAsia" w:eastAsia="宋体"/>
          <w:color w:val="000000"/>
          <w:shd w:val="clear" w:color="auto" w:fill="FFFFFF"/>
          <w:lang w:eastAsia="zh-CN"/>
        </w:rPr>
        <w:t>用户手册》</w:t>
      </w:r>
      <w:r>
        <w:rPr>
          <w:rFonts w:hint="eastAsia" w:eastAsia="宋体"/>
          <w:color w:val="000000"/>
          <w:shd w:val="clear" w:color="auto" w:fill="FFFFFF"/>
          <w:lang w:eastAsia="zh-CN"/>
        </w:rPr>
        <w:fldChar w:fldCharType="end"/>
      </w:r>
      <w:r>
        <w:rPr>
          <w:rStyle w:val="338"/>
          <w:rFonts w:hint="eastAsia" w:eastAsia="宋体"/>
          <w:color w:val="000000"/>
          <w:shd w:val="clear" w:color="auto" w:fill="FFFFFF"/>
          <w:lang w:eastAsia="zh-CN"/>
        </w:rPr>
        <w:t>的内容，而是提供与已注册或将要</w:t>
      </w:r>
      <w:bookmarkStart w:id="56" w:name="OLE_LINK12"/>
      <w:r>
        <w:rPr>
          <w:rStyle w:val="338"/>
          <w:rFonts w:hint="eastAsia" w:eastAsia="宋体"/>
          <w:color w:val="000000"/>
          <w:shd w:val="clear" w:color="auto" w:fill="FFFFFF"/>
          <w:lang w:eastAsia="zh-CN"/>
        </w:rPr>
        <w:t>在</w:t>
      </w:r>
      <w:r>
        <w:fldChar w:fldCharType="begin"/>
      </w:r>
      <w:r>
        <w:instrText xml:space="preserve"> HYPERLINK "https://oscar.wmo.int/surface/" </w:instrText>
      </w:r>
      <w:r>
        <w:fldChar w:fldCharType="separate"/>
      </w:r>
      <w:r>
        <w:rPr>
          <w:rStyle w:val="43"/>
          <w:rFonts w:hint="eastAsia" w:eastAsia="宋体"/>
          <w:lang w:eastAsia="zh-CN"/>
        </w:rPr>
        <w:t>OSCAR/地表</w:t>
      </w:r>
      <w:r>
        <w:rPr>
          <w:rStyle w:val="43"/>
        </w:rPr>
        <w:fldChar w:fldCharType="end"/>
      </w:r>
      <w:bookmarkEnd w:id="56"/>
      <w:r>
        <w:rPr>
          <w:rStyle w:val="338"/>
          <w:rFonts w:hint="eastAsia" w:eastAsia="宋体"/>
          <w:color w:val="000000"/>
          <w:shd w:val="clear" w:color="auto" w:fill="FFFFFF"/>
          <w:lang w:eastAsia="zh-CN"/>
        </w:rPr>
        <w:t>中注册的GBON台站相关的具体指导意见。</w:t>
      </w:r>
    </w:p>
    <w:p>
      <w:pPr>
        <w:pStyle w:val="2"/>
        <w:rPr>
          <w:rFonts w:ascii="宋体" w:hAnsi="宋体" w:eastAsia="宋体" w:cs="宋体"/>
          <w:lang w:eastAsia="zh-CN"/>
        </w:rPr>
      </w:pPr>
      <w:r>
        <w:rPr>
          <w:rFonts w:hint="eastAsia" w:ascii="宋体" w:hAnsi="宋体" w:eastAsia="宋体" w:cs="宋体"/>
        </w:rPr>
        <w:t>通过把台站与</w:t>
      </w:r>
      <w:r>
        <w:rPr>
          <w:rFonts w:eastAsia="宋体" w:cs="Verdana"/>
        </w:rPr>
        <w:t>GBON</w:t>
      </w:r>
      <w:r>
        <w:rPr>
          <w:rFonts w:hint="eastAsia" w:ascii="宋体" w:hAnsi="宋体" w:eastAsia="宋体" w:cs="宋体"/>
        </w:rPr>
        <w:t>计划/网络联系起来，在</w:t>
      </w:r>
      <w:r>
        <w:fldChar w:fldCharType="begin"/>
      </w:r>
      <w:r>
        <w:rPr>
          <w:rFonts w:eastAsia="宋体" w:cs="Verdana"/>
        </w:rPr>
        <w:instrText xml:space="preserve"> HYPERLINK "https://oscar.wmo.int/surface/" </w:instrText>
      </w:r>
      <w:r>
        <w:fldChar w:fldCharType="separate"/>
      </w:r>
      <w:r>
        <w:rPr>
          <w:rStyle w:val="43"/>
          <w:rFonts w:hint="eastAsia" w:eastAsia="宋体" w:cs="Verdana"/>
          <w:lang w:eastAsia="zh-CN"/>
        </w:rPr>
        <w:t>OSCAR/地表</w:t>
      </w:r>
      <w:r>
        <w:rPr>
          <w:rStyle w:val="43"/>
          <w:rFonts w:eastAsia="宋体" w:cs="Verdana"/>
        </w:rPr>
        <w:fldChar w:fldCharType="end"/>
      </w:r>
      <w:r>
        <w:rPr>
          <w:rFonts w:hint="eastAsia" w:ascii="宋体" w:hAnsi="宋体" w:eastAsia="宋体" w:cs="宋体"/>
        </w:rPr>
        <w:t>中将得以识别</w:t>
      </w:r>
      <w:r>
        <w:rPr>
          <w:rFonts w:eastAsia="宋体" w:cs="Verdana"/>
        </w:rPr>
        <w:t>GBON</w:t>
      </w:r>
      <w:r>
        <w:rPr>
          <w:rFonts w:hint="eastAsia" w:ascii="宋体" w:hAnsi="宋体" w:eastAsia="宋体" w:cs="宋体"/>
        </w:rPr>
        <w:t>台站。</w:t>
      </w:r>
      <w:r>
        <w:rPr>
          <w:rFonts w:hint="eastAsia" w:ascii="宋体" w:hAnsi="宋体" w:eastAsia="宋体" w:cs="宋体"/>
          <w:lang w:eastAsia="zh-CN"/>
        </w:rPr>
        <w:t>一旦保存在系统中，</w:t>
      </w:r>
      <w:r>
        <w:rPr>
          <w:rFonts w:eastAsia="宋体" w:cs="Verdana"/>
          <w:lang w:eastAsia="zh-CN"/>
        </w:rPr>
        <w:t>GBON</w:t>
      </w:r>
      <w:r>
        <w:rPr>
          <w:rFonts w:hint="eastAsia" w:ascii="宋体" w:hAnsi="宋体" w:eastAsia="宋体" w:cs="宋体"/>
          <w:lang w:eastAsia="zh-CN"/>
        </w:rPr>
        <w:t>台站将显示在</w:t>
      </w:r>
      <w:r>
        <w:fldChar w:fldCharType="begin"/>
      </w:r>
      <w:r>
        <w:rPr>
          <w:rFonts w:eastAsia="宋体" w:cs="Verdana"/>
          <w:lang w:eastAsia="zh-CN"/>
        </w:rPr>
        <w:instrText xml:space="preserve"> HYPERLINK "https://oscar.wmo.int/surface/" </w:instrText>
      </w:r>
      <w:r>
        <w:fldChar w:fldCharType="separate"/>
      </w:r>
      <w:r>
        <w:rPr>
          <w:rStyle w:val="43"/>
          <w:rFonts w:hint="eastAsia" w:eastAsia="宋体" w:cs="Verdana"/>
          <w:lang w:eastAsia="zh-CN"/>
        </w:rPr>
        <w:t>OSCAR/地表</w:t>
      </w:r>
      <w:r>
        <w:rPr>
          <w:rStyle w:val="43"/>
          <w:rFonts w:eastAsia="宋体" w:cs="Verdana"/>
        </w:rPr>
        <w:fldChar w:fldCharType="end"/>
      </w:r>
      <w:r>
        <w:rPr>
          <w:rFonts w:hint="eastAsia" w:ascii="宋体" w:hAnsi="宋体" w:eastAsia="宋体" w:cs="宋体"/>
          <w:lang w:eastAsia="zh-CN"/>
        </w:rPr>
        <w:t>中，但在台站获得</w:t>
      </w:r>
      <w:r>
        <w:rPr>
          <w:rFonts w:eastAsia="宋体" w:cs="Verdana"/>
          <w:lang w:eastAsia="zh-CN"/>
        </w:rPr>
        <w:t>GBON</w:t>
      </w:r>
      <w:r>
        <w:rPr>
          <w:rFonts w:hint="eastAsia" w:ascii="宋体" w:hAnsi="宋体" w:eastAsia="宋体" w:cs="宋体"/>
          <w:lang w:eastAsia="zh-CN"/>
        </w:rPr>
        <w:t>管理部门的批准前，其详细信息仍显示为待批准状态。</w:t>
      </w:r>
    </w:p>
    <w:p>
      <w:pPr>
        <w:spacing w:before="480" w:after="200" w:line="276" w:lineRule="auto"/>
        <w:outlineLvl w:val="2"/>
        <w:rPr>
          <w:rStyle w:val="338"/>
          <w:rFonts w:ascii="微软雅黑" w:hAnsi="微软雅黑" w:eastAsia="微软雅黑" w:cs="微软雅黑"/>
          <w:b/>
          <w:bCs/>
        </w:rPr>
      </w:pPr>
      <w:r>
        <w:rPr>
          <w:rStyle w:val="338"/>
          <w:rFonts w:eastAsia="Verdana" w:cs="Verdana"/>
          <w:b/>
          <w:bCs/>
        </w:rPr>
        <w:t>7.2</w:t>
      </w:r>
      <w:r>
        <w:rPr>
          <w:rStyle w:val="338"/>
          <w:rFonts w:eastAsia="Verdana" w:cs="Verdana"/>
          <w:b/>
          <w:bCs/>
        </w:rPr>
        <w:tab/>
      </w:r>
      <w:r>
        <w:rPr>
          <w:rStyle w:val="338"/>
          <w:rFonts w:hint="eastAsia" w:ascii="微软雅黑" w:hAnsi="微软雅黑" w:eastAsia="微软雅黑" w:cs="微软雅黑"/>
          <w:b/>
          <w:bCs/>
        </w:rPr>
        <w:t>搜索</w:t>
      </w:r>
      <w:r>
        <w:rPr>
          <w:rStyle w:val="338"/>
          <w:rFonts w:hint="eastAsia" w:eastAsia="Verdana" w:cs="Verdana"/>
          <w:b/>
          <w:bCs/>
        </w:rPr>
        <w:t>GBON</w:t>
      </w:r>
      <w:r>
        <w:rPr>
          <w:rStyle w:val="338"/>
          <w:rFonts w:hint="eastAsia" w:ascii="微软雅黑" w:hAnsi="微软雅黑" w:eastAsia="微软雅黑" w:cs="微软雅黑"/>
          <w:b/>
          <w:bCs/>
          <w:lang w:eastAsia="zh-CN"/>
        </w:rPr>
        <w:t>台站</w:t>
      </w:r>
    </w:p>
    <w:p>
      <w:pPr>
        <w:spacing w:after="240" w:line="240" w:lineRule="exact"/>
        <w:rPr>
          <w:rStyle w:val="338"/>
          <w:rFonts w:ascii="微软雅黑" w:hAnsi="微软雅黑" w:eastAsia="微软雅黑" w:cs="微软雅黑"/>
          <w:b/>
          <w:bCs/>
        </w:rPr>
      </w:pPr>
      <w:r>
        <w:rPr>
          <w:rStyle w:val="338"/>
          <w:rFonts w:eastAsia="Verdana" w:cs="Verdana"/>
          <w:b/>
          <w:bCs/>
        </w:rPr>
        <w:t>7.2.1</w:t>
      </w:r>
      <w:r>
        <w:rPr>
          <w:rStyle w:val="338"/>
          <w:rFonts w:eastAsia="Verdana" w:cs="Verdana"/>
          <w:b/>
          <w:bCs/>
        </w:rPr>
        <w:tab/>
      </w:r>
      <w:r>
        <w:rPr>
          <w:rStyle w:val="338"/>
          <w:rFonts w:hint="eastAsia" w:ascii="微软雅黑" w:hAnsi="微软雅黑" w:eastAsia="微软雅黑" w:cs="微软雅黑"/>
          <w:b/>
          <w:bCs/>
        </w:rPr>
        <w:t>如何找到</w:t>
      </w:r>
      <w:r>
        <w:rPr>
          <w:rStyle w:val="338"/>
          <w:rFonts w:hint="eastAsia" w:eastAsia="Verdana" w:cs="Verdana"/>
          <w:b/>
          <w:bCs/>
        </w:rPr>
        <w:t>GBON</w:t>
      </w:r>
      <w:r>
        <w:rPr>
          <w:rStyle w:val="338"/>
          <w:rFonts w:hint="eastAsia" w:ascii="微软雅黑" w:hAnsi="微软雅黑" w:eastAsia="微软雅黑" w:cs="微软雅黑"/>
          <w:b/>
          <w:bCs/>
        </w:rPr>
        <w:t>台站</w:t>
      </w:r>
    </w:p>
    <w:p>
      <w:pPr>
        <w:spacing w:after="240" w:line="240" w:lineRule="exact"/>
        <w:rPr>
          <w:rStyle w:val="338"/>
          <w:rFonts w:ascii="宋体" w:hAnsi="宋体" w:eastAsia="宋体" w:cs="宋体"/>
          <w:color w:val="000000"/>
          <w:shd w:val="clear" w:color="auto" w:fill="FFFFFF"/>
          <w:lang w:eastAsia="zh-CN"/>
        </w:rPr>
      </w:pPr>
      <w:r>
        <w:rPr>
          <w:rStyle w:val="338"/>
          <w:rFonts w:hint="eastAsia" w:ascii="宋体" w:hAnsi="宋体" w:eastAsia="宋体" w:cs="宋体"/>
          <w:color w:val="000000"/>
          <w:shd w:val="clear" w:color="auto" w:fill="FFFFFF"/>
          <w:lang w:eastAsia="zh-CN"/>
        </w:rPr>
        <w:t>要在</w:t>
      </w:r>
      <w:r>
        <w:fldChar w:fldCharType="begin"/>
      </w:r>
      <w:r>
        <w:rPr>
          <w:rFonts w:eastAsia="宋体" w:cs="Verdana"/>
          <w:lang w:eastAsia="zh-CN"/>
        </w:rPr>
        <w:instrText xml:space="preserve"> HYPERLINK "https://oscar.wmo.int/surface/" </w:instrText>
      </w:r>
      <w:r>
        <w:fldChar w:fldCharType="separate"/>
      </w:r>
      <w:r>
        <w:rPr>
          <w:rStyle w:val="43"/>
          <w:rFonts w:hint="eastAsia" w:eastAsia="宋体" w:cs="Verdana"/>
          <w:lang w:eastAsia="zh-CN"/>
        </w:rPr>
        <w:t>OSCAR/地表</w:t>
      </w:r>
      <w:r>
        <w:rPr>
          <w:rStyle w:val="43"/>
          <w:rFonts w:eastAsia="宋体" w:cs="Verdana"/>
        </w:rPr>
        <w:fldChar w:fldCharType="end"/>
      </w:r>
      <w:r>
        <w:rPr>
          <w:rStyle w:val="338"/>
          <w:rFonts w:hint="eastAsia" w:ascii="宋体" w:hAnsi="宋体" w:eastAsia="宋体" w:cs="宋体"/>
          <w:color w:val="000000"/>
          <w:shd w:val="clear" w:color="auto" w:fill="FFFFFF"/>
          <w:lang w:eastAsia="zh-CN"/>
        </w:rPr>
        <w:t>中搜索从属于</w:t>
      </w:r>
      <w:r>
        <w:rPr>
          <w:rStyle w:val="338"/>
          <w:rFonts w:eastAsia="宋体" w:cs="Verdana"/>
          <w:color w:val="000000"/>
          <w:shd w:val="clear" w:color="auto" w:fill="FFFFFF"/>
          <w:lang w:eastAsia="zh-CN"/>
        </w:rPr>
        <w:t>GBON</w:t>
      </w:r>
      <w:r>
        <w:rPr>
          <w:rStyle w:val="338"/>
          <w:rFonts w:hint="eastAsia" w:ascii="宋体" w:hAnsi="宋体" w:eastAsia="宋体" w:cs="宋体"/>
          <w:color w:val="000000"/>
          <w:shd w:val="clear" w:color="auto" w:fill="FFFFFF"/>
          <w:lang w:eastAsia="zh-CN"/>
        </w:rPr>
        <w:t>“计划/网络”的注册台站（</w:t>
      </w:r>
      <w:r>
        <w:rPr>
          <w:rStyle w:val="338"/>
          <w:rFonts w:eastAsia="宋体" w:cs="Verdana"/>
          <w:color w:val="000000"/>
          <w:shd w:val="clear" w:color="auto" w:fill="FFFFFF"/>
          <w:lang w:eastAsia="zh-CN"/>
        </w:rPr>
        <w:t>GBON</w:t>
      </w:r>
      <w:r>
        <w:rPr>
          <w:rStyle w:val="338"/>
          <w:rFonts w:hint="eastAsia" w:ascii="宋体" w:hAnsi="宋体" w:eastAsia="宋体" w:cs="宋体"/>
          <w:color w:val="000000"/>
          <w:shd w:val="clear" w:color="auto" w:fill="FFFFFF"/>
          <w:lang w:eastAsia="zh-CN"/>
        </w:rPr>
        <w:t>台站），可通过</w:t>
      </w:r>
      <w:r>
        <w:rPr>
          <w:rStyle w:val="338"/>
          <w:rFonts w:hint="eastAsia" w:ascii="微软雅黑" w:hAnsi="微软雅黑" w:eastAsia="微软雅黑" w:cs="宋体"/>
          <w:b/>
          <w:bCs/>
          <w:color w:val="000000"/>
          <w:shd w:val="clear" w:color="auto" w:fill="FFFFFF"/>
          <w:lang w:eastAsia="zh-CN"/>
        </w:rPr>
        <w:t>搜索</w:t>
      </w:r>
      <w:r>
        <w:rPr>
          <w:rStyle w:val="338"/>
          <w:rFonts w:hint="eastAsia" w:ascii="宋体" w:hAnsi="宋体" w:eastAsia="宋体" w:cs="宋体"/>
          <w:color w:val="000000"/>
          <w:shd w:val="clear" w:color="auto" w:fill="FFFFFF"/>
          <w:lang w:eastAsia="zh-CN"/>
        </w:rPr>
        <w:t>选项卡进入</w:t>
      </w:r>
      <w:r>
        <w:rPr>
          <w:rStyle w:val="338"/>
          <w:rFonts w:hint="eastAsia" w:ascii="微软雅黑" w:hAnsi="微软雅黑" w:eastAsia="微软雅黑" w:cs="宋体"/>
          <w:b/>
          <w:bCs/>
          <w:color w:val="000000"/>
          <w:shd w:val="clear" w:color="auto" w:fill="FFFFFF"/>
          <w:lang w:eastAsia="zh-CN"/>
        </w:rPr>
        <w:t>搜索台站</w:t>
      </w:r>
      <w:r>
        <w:rPr>
          <w:rStyle w:val="338"/>
          <w:rFonts w:hint="eastAsia" w:ascii="宋体" w:hAnsi="宋体" w:eastAsia="宋体" w:cs="宋体"/>
          <w:color w:val="000000"/>
          <w:shd w:val="clear" w:color="auto" w:fill="FFFFFF"/>
          <w:lang w:eastAsia="zh-CN"/>
        </w:rPr>
        <w:t>页面（图</w:t>
      </w:r>
      <w:r>
        <w:rPr>
          <w:rStyle w:val="338"/>
          <w:rFonts w:eastAsia="宋体" w:cs="Verdana"/>
          <w:color w:val="000000"/>
          <w:shd w:val="clear" w:color="auto" w:fill="FFFFFF"/>
          <w:lang w:eastAsia="zh-CN"/>
        </w:rPr>
        <w:t>7.1</w:t>
      </w:r>
      <w:r>
        <w:rPr>
          <w:rStyle w:val="338"/>
          <w:rFonts w:hint="eastAsia" w:ascii="宋体" w:hAnsi="宋体" w:eastAsia="宋体" w:cs="宋体"/>
          <w:color w:val="000000"/>
          <w:shd w:val="clear" w:color="auto" w:fill="FFFFFF"/>
          <w:lang w:eastAsia="zh-CN"/>
        </w:rPr>
        <w:t>）。高级搜索选项可用于搜索特定国家的</w:t>
      </w:r>
      <w:r>
        <w:rPr>
          <w:rStyle w:val="338"/>
          <w:rFonts w:eastAsia="宋体" w:cs="Verdana"/>
          <w:color w:val="000000"/>
          <w:shd w:val="clear" w:color="auto" w:fill="FFFFFF"/>
          <w:lang w:eastAsia="zh-CN"/>
        </w:rPr>
        <w:t>GBON</w:t>
      </w:r>
      <w:r>
        <w:rPr>
          <w:rStyle w:val="338"/>
          <w:rFonts w:hint="eastAsia" w:ascii="宋体" w:hAnsi="宋体" w:eastAsia="宋体" w:cs="宋体"/>
          <w:color w:val="000000"/>
          <w:shd w:val="clear" w:color="auto" w:fill="FFFFFF"/>
          <w:lang w:eastAsia="zh-CN"/>
        </w:rPr>
        <w:t>台站。从“计划/网络”部分（图</w:t>
      </w:r>
      <w:r>
        <w:rPr>
          <w:rStyle w:val="338"/>
          <w:rFonts w:eastAsia="宋体" w:cs="Verdana"/>
          <w:color w:val="000000"/>
          <w:shd w:val="clear" w:color="auto" w:fill="FFFFFF"/>
          <w:lang w:eastAsia="zh-CN"/>
        </w:rPr>
        <w:t>7.2</w:t>
      </w:r>
      <w:r>
        <w:rPr>
          <w:rStyle w:val="338"/>
          <w:rFonts w:hint="eastAsia" w:ascii="宋体" w:hAnsi="宋体" w:eastAsia="宋体" w:cs="宋体"/>
          <w:color w:val="000000"/>
          <w:shd w:val="clear" w:color="auto" w:fill="FFFFFF"/>
          <w:lang w:eastAsia="zh-CN"/>
        </w:rPr>
        <w:t>）找到计划/网络树，选择“</w:t>
      </w:r>
      <w:r>
        <w:rPr>
          <w:rStyle w:val="338"/>
          <w:rFonts w:eastAsia="宋体" w:cs="Verdana"/>
          <w:color w:val="000000"/>
          <w:shd w:val="clear" w:color="auto" w:fill="FFFFFF"/>
          <w:lang w:eastAsia="zh-CN"/>
        </w:rPr>
        <w:t>WIGOS/GOS/GOS</w:t>
      </w:r>
      <w:r>
        <w:rPr>
          <w:rStyle w:val="338"/>
          <w:rFonts w:hint="eastAsia" w:ascii="宋体" w:hAnsi="宋体" w:eastAsia="宋体" w:cs="宋体"/>
          <w:color w:val="000000"/>
          <w:shd w:val="clear" w:color="auto" w:fill="FFFFFF"/>
          <w:lang w:eastAsia="zh-CN"/>
        </w:rPr>
        <w:t>地面网”下的“</w:t>
      </w:r>
      <w:r>
        <w:rPr>
          <w:rStyle w:val="338"/>
          <w:rFonts w:eastAsia="宋体" w:cs="Verdana"/>
          <w:color w:val="000000"/>
          <w:shd w:val="clear" w:color="auto" w:fill="FFFFFF"/>
          <w:lang w:eastAsia="zh-CN"/>
        </w:rPr>
        <w:t>GBON</w:t>
      </w:r>
      <w:r>
        <w:rPr>
          <w:rStyle w:val="338"/>
          <w:rFonts w:hint="eastAsia" w:ascii="宋体" w:hAnsi="宋体" w:eastAsia="宋体" w:cs="宋体"/>
          <w:color w:val="000000"/>
          <w:shd w:val="clear" w:color="auto" w:fill="FFFFFF"/>
          <w:lang w:eastAsia="zh-CN"/>
        </w:rPr>
        <w:t>”和某一国家，然后点击“搜索”按钮，即可搜索特定国家的</w:t>
      </w:r>
      <w:r>
        <w:rPr>
          <w:rStyle w:val="338"/>
          <w:rFonts w:eastAsia="宋体" w:cs="Verdana"/>
          <w:color w:val="000000"/>
          <w:shd w:val="clear" w:color="auto" w:fill="FFFFFF"/>
          <w:lang w:eastAsia="zh-CN"/>
        </w:rPr>
        <w:t>GBON</w:t>
      </w:r>
      <w:r>
        <w:rPr>
          <w:rStyle w:val="338"/>
          <w:rFonts w:hint="eastAsia" w:ascii="宋体" w:hAnsi="宋体" w:eastAsia="宋体" w:cs="宋体"/>
          <w:color w:val="000000"/>
          <w:shd w:val="clear" w:color="auto" w:fill="FFFFFF"/>
          <w:lang w:eastAsia="zh-CN"/>
        </w:rPr>
        <w:t>台站。搜索结果的示例见图</w:t>
      </w:r>
      <w:r>
        <w:rPr>
          <w:rStyle w:val="338"/>
          <w:rFonts w:eastAsia="宋体" w:cs="Verdana"/>
          <w:color w:val="000000"/>
          <w:shd w:val="clear" w:color="auto" w:fill="FFFFFF"/>
          <w:lang w:eastAsia="zh-CN"/>
        </w:rPr>
        <w:t>7.3</w:t>
      </w:r>
      <w:r>
        <w:rPr>
          <w:rStyle w:val="338"/>
          <w:rFonts w:hint="eastAsia" w:ascii="宋体" w:hAnsi="宋体" w:eastAsia="宋体" w:cs="宋体"/>
          <w:color w:val="000000"/>
          <w:shd w:val="clear" w:color="auto" w:fill="FFFFFF"/>
          <w:lang w:eastAsia="zh-CN"/>
        </w:rPr>
        <w:t>——瑞士的搜索结果以列表格式呈现（</w:t>
      </w:r>
      <w:r>
        <w:rPr>
          <w:rStyle w:val="338"/>
          <w:rFonts w:eastAsia="宋体" w:cs="Verdana"/>
          <w:color w:val="000000"/>
          <w:shd w:val="clear" w:color="auto" w:fill="FFFFFF"/>
          <w:lang w:eastAsia="zh-CN"/>
        </w:rPr>
        <w:t>2022</w:t>
      </w:r>
      <w:r>
        <w:rPr>
          <w:rStyle w:val="338"/>
          <w:rFonts w:hint="eastAsia" w:ascii="宋体" w:hAnsi="宋体" w:eastAsia="宋体" w:cs="宋体"/>
          <w:color w:val="000000"/>
          <w:shd w:val="clear" w:color="auto" w:fill="FFFFFF"/>
          <w:lang w:eastAsia="zh-CN"/>
        </w:rPr>
        <w:t>年</w:t>
      </w:r>
      <w:r>
        <w:rPr>
          <w:rStyle w:val="338"/>
          <w:rFonts w:eastAsia="宋体" w:cs="Verdana"/>
          <w:color w:val="000000"/>
          <w:shd w:val="clear" w:color="auto" w:fill="FFFFFF"/>
          <w:lang w:eastAsia="zh-CN"/>
        </w:rPr>
        <w:t>12</w:t>
      </w:r>
      <w:r>
        <w:rPr>
          <w:rStyle w:val="338"/>
          <w:rFonts w:hint="eastAsia" w:ascii="宋体" w:hAnsi="宋体" w:eastAsia="宋体" w:cs="宋体"/>
          <w:color w:val="000000"/>
          <w:shd w:val="clear" w:color="auto" w:fill="FFFFFF"/>
          <w:lang w:eastAsia="zh-CN"/>
        </w:rPr>
        <w:t>月</w:t>
      </w:r>
      <w:r>
        <w:rPr>
          <w:rStyle w:val="338"/>
          <w:rFonts w:eastAsia="宋体" w:cs="Verdana"/>
          <w:color w:val="000000"/>
          <w:shd w:val="clear" w:color="auto" w:fill="FFFFFF"/>
          <w:lang w:eastAsia="zh-CN"/>
        </w:rPr>
        <w:t>19</w:t>
      </w:r>
      <w:r>
        <w:rPr>
          <w:rStyle w:val="338"/>
          <w:rFonts w:hint="eastAsia" w:ascii="宋体" w:hAnsi="宋体" w:eastAsia="宋体" w:cs="宋体"/>
          <w:color w:val="000000"/>
          <w:shd w:val="clear" w:color="auto" w:fill="FFFFFF"/>
          <w:lang w:eastAsia="zh-CN"/>
        </w:rPr>
        <w:t>日）。单击列表条目或地图上的站点可查看单个台站的信息。</w:t>
      </w:r>
    </w:p>
    <w:p>
      <w:pPr>
        <w:keepNext/>
        <w:spacing w:before="120" w:line="360" w:lineRule="auto"/>
        <w:jc w:val="center"/>
      </w:pPr>
      <w:r>
        <w:drawing>
          <wp:inline distT="0" distB="0" distL="0" distR="0">
            <wp:extent cx="5105400" cy="66967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0"/>
                    <a:srcRect t="2502"/>
                    <a:stretch>
                      <a:fillRect/>
                    </a:stretch>
                  </pic:blipFill>
                  <pic:spPr>
                    <a:xfrm>
                      <a:off x="0" y="0"/>
                      <a:ext cx="5129926" cy="6729381"/>
                    </a:xfrm>
                    <a:prstGeom prst="rect">
                      <a:avLst/>
                    </a:prstGeom>
                    <a:ln>
                      <a:noFill/>
                    </a:ln>
                  </pic:spPr>
                </pic:pic>
              </a:graphicData>
            </a:graphic>
          </wp:inline>
        </w:drawing>
      </w:r>
    </w:p>
    <w:p>
      <w:pPr>
        <w:pStyle w:val="13"/>
        <w:spacing w:before="240" w:after="0" w:line="240" w:lineRule="auto"/>
        <w:jc w:val="center"/>
        <w:rPr>
          <w:rStyle w:val="338"/>
          <w:rFonts w:ascii="微软雅黑" w:hAnsi="微软雅黑" w:eastAsia="微软雅黑" w:cs="微软雅黑"/>
          <w:color w:val="auto"/>
          <w:sz w:val="20"/>
          <w:szCs w:val="20"/>
          <w:lang w:val="en-GB"/>
        </w:rPr>
      </w:pPr>
      <w:bookmarkStart w:id="57" w:name="OLE_LINK13"/>
      <w:r>
        <w:rPr>
          <w:rFonts w:hint="eastAsia" w:ascii="微软雅黑" w:hAnsi="微软雅黑" w:eastAsia="微软雅黑" w:cs="微软雅黑"/>
          <w:color w:val="auto"/>
          <w:sz w:val="20"/>
          <w:szCs w:val="20"/>
          <w:lang w:val="en-US" w:eastAsia="zh-CN"/>
        </w:rPr>
        <w:t>图</w:t>
      </w:r>
      <w:bookmarkEnd w:id="57"/>
      <w:r>
        <w:rPr>
          <w:rFonts w:ascii="Verdana" w:hAnsi="Verdana"/>
          <w:color w:val="auto"/>
          <w:sz w:val="20"/>
          <w:szCs w:val="20"/>
          <w:lang w:val="en-GB"/>
        </w:rPr>
        <w:t>7.1</w:t>
      </w:r>
      <w:r>
        <w:rPr>
          <w:rFonts w:hint="eastAsia" w:ascii="微软雅黑" w:hAnsi="微软雅黑" w:eastAsia="微软雅黑" w:cs="微软雅黑"/>
          <w:color w:val="auto"/>
          <w:sz w:val="20"/>
          <w:szCs w:val="20"/>
          <w:lang w:val="en-GB" w:eastAsia="zh-CN"/>
        </w:rPr>
        <w:t>：</w:t>
      </w:r>
      <w:r>
        <w:rPr>
          <w:rFonts w:hint="eastAsia" w:ascii="Verdana" w:hAnsi="Verdana" w:eastAsia="宋体"/>
          <w:color w:val="auto"/>
          <w:sz w:val="20"/>
          <w:szCs w:val="20"/>
          <w:lang w:val="en-GB" w:eastAsia="zh-CN"/>
        </w:rPr>
        <w:t>OSCAR/</w:t>
      </w:r>
      <w:r>
        <w:rPr>
          <w:rFonts w:hint="eastAsia" w:ascii="微软雅黑" w:hAnsi="微软雅黑" w:eastAsia="微软雅黑" w:cs="微软雅黑"/>
          <w:color w:val="auto"/>
          <w:sz w:val="20"/>
          <w:szCs w:val="20"/>
          <w:lang w:val="en-GB" w:eastAsia="zh-CN"/>
        </w:rPr>
        <w:t>地表中的搜索页面中可以搜索</w:t>
      </w:r>
      <w:r>
        <w:rPr>
          <w:rFonts w:hint="eastAsia" w:ascii="Verdana" w:hAnsi="Verdana" w:eastAsia="宋体"/>
          <w:color w:val="auto"/>
          <w:sz w:val="20"/>
          <w:szCs w:val="20"/>
          <w:lang w:val="en-GB" w:eastAsia="zh-CN"/>
        </w:rPr>
        <w:t>GBON</w:t>
      </w:r>
      <w:r>
        <w:rPr>
          <w:rFonts w:hint="eastAsia" w:ascii="微软雅黑" w:hAnsi="微软雅黑" w:eastAsia="微软雅黑" w:cs="微软雅黑"/>
          <w:color w:val="auto"/>
          <w:sz w:val="20"/>
          <w:szCs w:val="20"/>
          <w:lang w:val="en-GB" w:eastAsia="zh-CN"/>
        </w:rPr>
        <w:t>台站</w:t>
      </w:r>
    </w:p>
    <w:p>
      <w:pPr>
        <w:pStyle w:val="13"/>
        <w:spacing w:before="240" w:after="0" w:line="240" w:lineRule="auto"/>
        <w:jc w:val="center"/>
        <w:rPr>
          <w:rFonts w:ascii="Verdana" w:hAnsi="Verdana"/>
          <w:color w:val="auto"/>
          <w:sz w:val="20"/>
          <w:szCs w:val="20"/>
          <w:lang w:val="en-GB"/>
        </w:rPr>
      </w:pPr>
      <w:r>
        <w:rPr>
          <w:rFonts w:ascii="Verdana" w:hAnsi="Verdana"/>
          <w:color w:val="auto"/>
          <w:sz w:val="20"/>
          <w:szCs w:val="20"/>
          <w:lang w:val="en-GB"/>
        </w:rPr>
        <w:drawing>
          <wp:inline distT="0" distB="0" distL="0" distR="0">
            <wp:extent cx="3415665" cy="35185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3894" cy="3527305"/>
                    </a:xfrm>
                    <a:prstGeom prst="rect">
                      <a:avLst/>
                    </a:prstGeom>
                  </pic:spPr>
                </pic:pic>
              </a:graphicData>
            </a:graphic>
          </wp:inline>
        </w:drawing>
      </w:r>
    </w:p>
    <w:p>
      <w:pPr>
        <w:pStyle w:val="13"/>
        <w:spacing w:after="240" w:line="240" w:lineRule="exact"/>
        <w:jc w:val="center"/>
        <w:rPr>
          <w:rFonts w:ascii="微软雅黑" w:hAnsi="微软雅黑" w:eastAsia="微软雅黑" w:cs="微软雅黑"/>
          <w:color w:val="auto"/>
          <w:sz w:val="20"/>
          <w:szCs w:val="20"/>
          <w:lang w:val="en-GB" w:eastAsia="zh-CN"/>
        </w:rPr>
      </w:pPr>
      <w:r>
        <w:rPr>
          <w:rFonts w:hint="eastAsia" w:ascii="微软雅黑" w:hAnsi="微软雅黑" w:eastAsia="微软雅黑" w:cs="微软雅黑"/>
          <w:color w:val="auto"/>
          <w:sz w:val="20"/>
          <w:szCs w:val="20"/>
          <w:lang w:val="en-US" w:eastAsia="zh-CN"/>
        </w:rPr>
        <w:t>图</w:t>
      </w:r>
      <w:r>
        <w:rPr>
          <w:rFonts w:ascii="Verdana" w:hAnsi="Verdana"/>
          <w:color w:val="auto"/>
          <w:sz w:val="20"/>
          <w:szCs w:val="20"/>
          <w:lang w:val="en-GB" w:eastAsia="zh-CN"/>
        </w:rPr>
        <w:t>7.2</w:t>
      </w:r>
      <w:r>
        <w:rPr>
          <w:rFonts w:hint="eastAsia" w:ascii="微软雅黑" w:hAnsi="微软雅黑" w:eastAsia="微软雅黑" w:cs="微软雅黑"/>
          <w:color w:val="auto"/>
          <w:sz w:val="20"/>
          <w:szCs w:val="20"/>
          <w:lang w:val="en-GB" w:eastAsia="zh-CN"/>
        </w:rPr>
        <w:t>：计划/网络树下的</w:t>
      </w:r>
      <w:r>
        <w:rPr>
          <w:rFonts w:hint="eastAsia" w:ascii="Verdana" w:hAnsi="Verdana"/>
          <w:color w:val="auto"/>
          <w:sz w:val="20"/>
          <w:szCs w:val="20"/>
          <w:lang w:val="en-GB" w:eastAsia="zh-CN"/>
        </w:rPr>
        <w:t>GBON</w:t>
      </w:r>
      <w:r>
        <w:rPr>
          <w:rFonts w:hint="eastAsia" w:ascii="微软雅黑" w:hAnsi="微软雅黑" w:eastAsia="微软雅黑" w:cs="微软雅黑"/>
          <w:color w:val="auto"/>
          <w:sz w:val="20"/>
          <w:szCs w:val="20"/>
          <w:lang w:val="en-GB" w:eastAsia="zh-CN"/>
        </w:rPr>
        <w:t>选项</w:t>
      </w:r>
    </w:p>
    <w:p>
      <w:pPr>
        <w:rPr>
          <w:lang w:eastAsia="zh-CN"/>
        </w:rPr>
      </w:pPr>
    </w:p>
    <w:p>
      <w:pPr>
        <w:keepNext/>
        <w:spacing w:before="120" w:line="360" w:lineRule="auto"/>
        <w:ind w:left="360"/>
        <w:jc w:val="center"/>
      </w:pPr>
      <w:r>
        <w:drawing>
          <wp:inline distT="0" distB="0" distL="0" distR="0">
            <wp:extent cx="3606800" cy="4617720"/>
            <wp:effectExtent l="0" t="0" r="0" b="0"/>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10;&#10;Description automatically generated"/>
                    <pic:cNvPicPr>
                      <a:picLocks noChangeAspect="1"/>
                    </pic:cNvPicPr>
                  </pic:nvPicPr>
                  <pic:blipFill>
                    <a:blip r:embed="rId12"/>
                    <a:stretch>
                      <a:fillRect/>
                    </a:stretch>
                  </pic:blipFill>
                  <pic:spPr>
                    <a:xfrm>
                      <a:off x="0" y="0"/>
                      <a:ext cx="3618603" cy="4632032"/>
                    </a:xfrm>
                    <a:prstGeom prst="rect">
                      <a:avLst/>
                    </a:prstGeom>
                  </pic:spPr>
                </pic:pic>
              </a:graphicData>
            </a:graphic>
          </wp:inline>
        </w:drawing>
      </w:r>
    </w:p>
    <w:p>
      <w:pPr>
        <w:pStyle w:val="13"/>
        <w:spacing w:after="240" w:line="240" w:lineRule="exact"/>
        <w:jc w:val="center"/>
        <w:rPr>
          <w:rFonts w:ascii="微软雅黑" w:hAnsi="微软雅黑" w:eastAsia="微软雅黑" w:cs="微软雅黑"/>
          <w:sz w:val="20"/>
          <w:szCs w:val="20"/>
          <w:lang w:val="en-GB" w:eastAsia="zh-CN"/>
        </w:rPr>
      </w:pPr>
      <w:r>
        <w:rPr>
          <w:rFonts w:hint="eastAsia" w:ascii="微软雅黑" w:hAnsi="微软雅黑" w:eastAsia="微软雅黑" w:cs="微软雅黑"/>
          <w:color w:val="auto"/>
          <w:sz w:val="20"/>
          <w:szCs w:val="20"/>
          <w:lang w:val="en-US" w:eastAsia="zh-CN"/>
        </w:rPr>
        <w:t>图</w:t>
      </w:r>
      <w:r>
        <w:rPr>
          <w:rFonts w:ascii="Verdana" w:hAnsi="Verdana"/>
          <w:color w:val="auto"/>
          <w:sz w:val="20"/>
          <w:szCs w:val="20"/>
          <w:lang w:val="en-GB" w:eastAsia="zh-CN"/>
        </w:rPr>
        <w:t>7.3</w:t>
      </w:r>
      <w:r>
        <w:rPr>
          <w:rFonts w:hint="eastAsia" w:ascii="微软雅黑" w:hAnsi="微软雅黑" w:eastAsia="微软雅黑" w:cs="微软雅黑"/>
          <w:color w:val="auto"/>
          <w:sz w:val="20"/>
          <w:szCs w:val="20"/>
          <w:lang w:val="en-GB" w:eastAsia="zh-CN"/>
        </w:rPr>
        <w:t>：瑞士提名的</w:t>
      </w:r>
      <w:r>
        <w:rPr>
          <w:rFonts w:hint="eastAsia" w:ascii="Verdana" w:hAnsi="Verdana"/>
          <w:color w:val="auto"/>
          <w:sz w:val="20"/>
          <w:szCs w:val="20"/>
          <w:lang w:val="en-GB" w:eastAsia="zh-CN"/>
        </w:rPr>
        <w:t>GBON</w:t>
      </w:r>
      <w:r>
        <w:rPr>
          <w:rFonts w:hint="eastAsia" w:ascii="微软雅黑" w:hAnsi="微软雅黑" w:eastAsia="微软雅黑" w:cs="微软雅黑"/>
          <w:color w:val="auto"/>
          <w:sz w:val="20"/>
          <w:szCs w:val="20"/>
          <w:lang w:val="en-GB" w:eastAsia="zh-CN"/>
        </w:rPr>
        <w:t>台站的搜索结果图（</w:t>
      </w:r>
      <w:r>
        <w:rPr>
          <w:rFonts w:hint="eastAsia" w:ascii="Verdana" w:hAnsi="Verdana"/>
          <w:color w:val="auto"/>
          <w:sz w:val="20"/>
          <w:szCs w:val="20"/>
          <w:lang w:val="en-GB" w:eastAsia="zh-CN"/>
        </w:rPr>
        <w:t>2022</w:t>
      </w:r>
      <w:r>
        <w:rPr>
          <w:rFonts w:hint="eastAsia" w:ascii="微软雅黑" w:hAnsi="微软雅黑" w:eastAsia="微软雅黑" w:cs="微软雅黑"/>
          <w:color w:val="auto"/>
          <w:sz w:val="20"/>
          <w:szCs w:val="20"/>
          <w:lang w:val="en-GB" w:eastAsia="zh-CN"/>
        </w:rPr>
        <w:t>年</w:t>
      </w:r>
      <w:r>
        <w:rPr>
          <w:rFonts w:hint="eastAsia" w:ascii="Verdana" w:hAnsi="Verdana"/>
          <w:color w:val="auto"/>
          <w:sz w:val="20"/>
          <w:szCs w:val="20"/>
          <w:lang w:val="en-GB" w:eastAsia="zh-CN"/>
        </w:rPr>
        <w:t>12</w:t>
      </w:r>
      <w:r>
        <w:rPr>
          <w:rFonts w:hint="eastAsia" w:ascii="微软雅黑" w:hAnsi="微软雅黑" w:eastAsia="微软雅黑" w:cs="微软雅黑"/>
          <w:color w:val="auto"/>
          <w:sz w:val="20"/>
          <w:szCs w:val="20"/>
          <w:lang w:val="en-GB" w:eastAsia="zh-CN"/>
        </w:rPr>
        <w:t>月</w:t>
      </w:r>
      <w:r>
        <w:rPr>
          <w:rFonts w:hint="eastAsia" w:ascii="Verdana" w:hAnsi="Verdana"/>
          <w:color w:val="auto"/>
          <w:sz w:val="20"/>
          <w:szCs w:val="20"/>
          <w:lang w:val="en-GB" w:eastAsia="zh-CN"/>
        </w:rPr>
        <w:t>19</w:t>
      </w:r>
      <w:r>
        <w:rPr>
          <w:rFonts w:hint="eastAsia" w:ascii="微软雅黑" w:hAnsi="微软雅黑" w:eastAsia="微软雅黑" w:cs="微软雅黑"/>
          <w:color w:val="auto"/>
          <w:sz w:val="20"/>
          <w:szCs w:val="20"/>
          <w:lang w:val="en-GB" w:eastAsia="zh-CN"/>
        </w:rPr>
        <w:t>日）</w:t>
      </w:r>
    </w:p>
    <w:p>
      <w:pPr>
        <w:spacing w:after="240" w:line="240" w:lineRule="exact"/>
        <w:rPr>
          <w:rStyle w:val="338"/>
          <w:rFonts w:ascii="微软雅黑" w:hAnsi="微软雅黑" w:eastAsia="微软雅黑" w:cs="微软雅黑"/>
          <w:b/>
          <w:bCs/>
          <w:lang w:eastAsia="zh-CN"/>
        </w:rPr>
      </w:pPr>
      <w:r>
        <w:rPr>
          <w:rStyle w:val="338"/>
          <w:rFonts w:eastAsia="Verdana" w:cs="Verdana"/>
          <w:b/>
          <w:bCs/>
          <w:lang w:eastAsia="zh-CN"/>
        </w:rPr>
        <w:t>7.2.2</w:t>
      </w:r>
      <w:r>
        <w:rPr>
          <w:rStyle w:val="338"/>
          <w:rFonts w:eastAsia="Verdana" w:cs="Verdana"/>
          <w:b/>
          <w:bCs/>
          <w:lang w:eastAsia="zh-CN"/>
        </w:rPr>
        <w:tab/>
      </w:r>
      <w:r>
        <w:rPr>
          <w:rStyle w:val="338"/>
          <w:rFonts w:hint="eastAsia" w:eastAsia="Verdana" w:cs="Verdana"/>
          <w:b/>
          <w:bCs/>
          <w:lang w:eastAsia="zh-CN"/>
        </w:rPr>
        <w:t>GBON</w:t>
      </w:r>
      <w:r>
        <w:rPr>
          <w:rStyle w:val="338"/>
          <w:rFonts w:hint="eastAsia" w:ascii="微软雅黑" w:hAnsi="微软雅黑" w:eastAsia="微软雅黑" w:cs="微软雅黑"/>
          <w:b/>
          <w:bCs/>
          <w:lang w:eastAsia="zh-CN"/>
        </w:rPr>
        <w:t>台站的元数据详细信息（台站报告）</w:t>
      </w:r>
    </w:p>
    <w:p>
      <w:pPr>
        <w:spacing w:after="240" w:line="240" w:lineRule="exact"/>
        <w:rPr>
          <w:rStyle w:val="338"/>
          <w:shd w:val="clear" w:color="auto" w:fill="FFFFFF"/>
          <w:lang w:eastAsia="zh-CN"/>
        </w:rPr>
      </w:pPr>
      <w:r>
        <w:rPr>
          <w:rStyle w:val="338"/>
          <w:rFonts w:hint="eastAsia" w:ascii="宋体" w:hAnsi="宋体" w:eastAsia="宋体" w:cs="宋体"/>
          <w:lang w:eastAsia="zh-CN"/>
        </w:rPr>
        <w:t>点击搜索结果部分中的</w:t>
      </w:r>
      <w:r>
        <w:rPr>
          <w:rStyle w:val="338"/>
          <w:rFonts w:eastAsia="宋体" w:cs="Verdana"/>
          <w:lang w:eastAsia="zh-CN"/>
        </w:rPr>
        <w:t>GBON</w:t>
      </w:r>
      <w:r>
        <w:rPr>
          <w:rStyle w:val="338"/>
          <w:rFonts w:hint="eastAsia" w:ascii="宋体" w:hAnsi="宋体" w:eastAsia="宋体" w:cs="宋体"/>
          <w:lang w:eastAsia="zh-CN"/>
        </w:rPr>
        <w:t>台站，或使用台站名称或</w:t>
      </w:r>
      <w:r>
        <w:rPr>
          <w:rStyle w:val="338"/>
          <w:rFonts w:eastAsia="宋体" w:cs="Verdana"/>
          <w:lang w:eastAsia="zh-CN"/>
        </w:rPr>
        <w:t>WIGOS</w:t>
      </w:r>
      <w:r>
        <w:rPr>
          <w:rStyle w:val="338"/>
          <w:rFonts w:hint="eastAsia" w:ascii="宋体" w:hAnsi="宋体" w:eastAsia="宋体" w:cs="宋体"/>
          <w:lang w:eastAsia="zh-CN"/>
        </w:rPr>
        <w:t>台站标识符（</w:t>
      </w:r>
      <w:r>
        <w:rPr>
          <w:rStyle w:val="338"/>
          <w:rFonts w:eastAsia="宋体" w:cs="Verdana"/>
          <w:lang w:eastAsia="zh-CN"/>
        </w:rPr>
        <w:t>WSI</w:t>
      </w:r>
      <w:r>
        <w:rPr>
          <w:rStyle w:val="338"/>
          <w:rFonts w:hint="eastAsia" w:ascii="宋体" w:hAnsi="宋体" w:eastAsia="宋体" w:cs="宋体"/>
          <w:lang w:eastAsia="zh-CN"/>
        </w:rPr>
        <w:t>）搜索特定台站，将显示</w:t>
      </w:r>
      <w:r>
        <w:rPr>
          <w:rStyle w:val="338"/>
          <w:rFonts w:hint="eastAsia" w:ascii="微软雅黑" w:hAnsi="微软雅黑" w:eastAsia="微软雅黑" w:cs="宋体"/>
          <w:b/>
          <w:bCs/>
          <w:lang w:eastAsia="zh-CN"/>
        </w:rPr>
        <w:t>台站报告</w:t>
      </w:r>
      <w:r>
        <w:rPr>
          <w:rStyle w:val="338"/>
          <w:rFonts w:hint="eastAsia" w:ascii="宋体" w:hAnsi="宋体" w:eastAsia="宋体" w:cs="宋体"/>
          <w:lang w:eastAsia="zh-CN"/>
        </w:rPr>
        <w:t>（图</w:t>
      </w:r>
      <w:r>
        <w:rPr>
          <w:rStyle w:val="338"/>
          <w:rFonts w:eastAsia="宋体" w:cs="Verdana"/>
          <w:lang w:eastAsia="zh-CN"/>
        </w:rPr>
        <w:t>7.4</w:t>
      </w:r>
      <w:r>
        <w:rPr>
          <w:rStyle w:val="338"/>
          <w:rFonts w:hint="eastAsia" w:ascii="宋体" w:hAnsi="宋体" w:eastAsia="宋体" w:cs="宋体"/>
          <w:lang w:eastAsia="zh-CN"/>
        </w:rPr>
        <w:t>）。台站报告是所选台站的所有可用元数据的集合，包括</w:t>
      </w:r>
      <w:r>
        <w:fldChar w:fldCharType="begin"/>
      </w:r>
      <w:r>
        <w:instrText xml:space="preserve"> HYPERLINK "https://oscar.wmo.int/surface/" </w:instrText>
      </w:r>
      <w:r>
        <w:fldChar w:fldCharType="separate"/>
      </w:r>
      <w:r>
        <w:rPr>
          <w:rStyle w:val="43"/>
          <w:rFonts w:hint="eastAsia" w:eastAsia="宋体" w:cs="Verdana"/>
          <w:lang w:eastAsia="zh-CN"/>
        </w:rPr>
        <w:t>OSCAR/地表</w:t>
      </w:r>
      <w:r>
        <w:rPr>
          <w:rStyle w:val="43"/>
          <w:rFonts w:eastAsia="宋体" w:cs="Verdana"/>
          <w:lang w:eastAsia="zh-CN"/>
        </w:rPr>
        <w:fldChar w:fldCharType="end"/>
      </w:r>
      <w:r>
        <w:rPr>
          <w:rStyle w:val="338"/>
          <w:rFonts w:hint="eastAsia" w:ascii="宋体" w:hAnsi="宋体" w:eastAsia="宋体" w:cs="宋体"/>
          <w:lang w:eastAsia="zh-CN"/>
        </w:rPr>
        <w:t>中记录的更改历史。台站报告包括以下五部分内容：台站特征、观测/实测、台站联系人、参考文献和文件，都可通过点击相应的按钮进行扩展搜索。</w:t>
      </w:r>
      <w:r>
        <w:rPr>
          <w:rStyle w:val="338"/>
          <w:rFonts w:hint="eastAsia" w:ascii="宋体" w:hAnsi="宋体" w:eastAsia="宋体" w:cs="宋体"/>
          <w:lang w:val="en-US" w:eastAsia="zh-CN"/>
        </w:rPr>
        <w:t>可下载</w:t>
      </w:r>
      <w:r>
        <w:rPr>
          <w:rStyle w:val="338"/>
          <w:rFonts w:eastAsia="宋体" w:cs="Verdana"/>
          <w:lang w:eastAsia="zh-CN"/>
        </w:rPr>
        <w:t>pdf</w:t>
      </w:r>
      <w:r>
        <w:rPr>
          <w:rStyle w:val="338"/>
          <w:rFonts w:hint="eastAsia" w:ascii="宋体" w:hAnsi="宋体" w:eastAsia="宋体" w:cs="宋体"/>
          <w:lang w:eastAsia="zh-CN"/>
        </w:rPr>
        <w:t>格式的台站报告。也可下载</w:t>
      </w:r>
      <w:r>
        <w:rPr>
          <w:rStyle w:val="338"/>
          <w:rFonts w:eastAsia="宋体" w:cs="Verdana"/>
          <w:lang w:eastAsia="zh-CN"/>
        </w:rPr>
        <w:t>WMDR</w:t>
      </w:r>
      <w:r>
        <w:rPr>
          <w:rStyle w:val="338"/>
          <w:rFonts w:hint="eastAsia" w:ascii="宋体" w:hAnsi="宋体" w:eastAsia="宋体" w:cs="宋体"/>
          <w:lang w:eastAsia="zh-CN"/>
        </w:rPr>
        <w:t>（</w:t>
      </w:r>
      <w:r>
        <w:rPr>
          <w:rStyle w:val="338"/>
          <w:rFonts w:eastAsia="宋体" w:cs="Verdana"/>
          <w:lang w:eastAsia="zh-CN"/>
        </w:rPr>
        <w:t>WIGOS</w:t>
      </w:r>
      <w:r>
        <w:rPr>
          <w:rStyle w:val="338"/>
          <w:rFonts w:hint="eastAsia" w:ascii="宋体" w:hAnsi="宋体" w:eastAsia="宋体" w:cs="宋体"/>
          <w:lang w:eastAsia="zh-CN"/>
        </w:rPr>
        <w:t>元数据表示）</w:t>
      </w:r>
      <w:r>
        <w:rPr>
          <w:rStyle w:val="338"/>
          <w:rFonts w:eastAsia="宋体" w:cs="Verdana"/>
          <w:lang w:eastAsia="zh-CN"/>
        </w:rPr>
        <w:t>XML</w:t>
      </w:r>
      <w:r>
        <w:rPr>
          <w:rStyle w:val="338"/>
          <w:rFonts w:hint="eastAsia" w:ascii="宋体" w:hAnsi="宋体" w:eastAsia="宋体" w:cs="宋体"/>
          <w:lang w:eastAsia="zh-CN"/>
        </w:rPr>
        <w:t>的台站表示文件。</w:t>
      </w:r>
    </w:p>
    <w:p>
      <w:pPr>
        <w:spacing w:before="120" w:line="276" w:lineRule="auto"/>
        <w:ind w:left="360"/>
        <w:rPr>
          <w:rStyle w:val="338"/>
          <w:shd w:val="clear" w:color="auto" w:fill="FFFFFF"/>
        </w:rPr>
      </w:pPr>
      <w:r>
        <w:drawing>
          <wp:inline distT="0" distB="0" distL="0" distR="0">
            <wp:extent cx="5760720" cy="15798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60720" cy="1579880"/>
                    </a:xfrm>
                    <a:prstGeom prst="rect">
                      <a:avLst/>
                    </a:prstGeom>
                  </pic:spPr>
                </pic:pic>
              </a:graphicData>
            </a:graphic>
          </wp:inline>
        </w:drawing>
      </w:r>
    </w:p>
    <w:p>
      <w:pPr>
        <w:pStyle w:val="13"/>
        <w:spacing w:after="240" w:line="240" w:lineRule="exact"/>
        <w:jc w:val="center"/>
        <w:rPr>
          <w:rFonts w:ascii="微软雅黑" w:hAnsi="微软雅黑" w:eastAsia="微软雅黑" w:cs="微软雅黑"/>
          <w:color w:val="auto"/>
          <w:sz w:val="20"/>
          <w:szCs w:val="20"/>
          <w:lang w:val="en-GB" w:eastAsia="zh-CN"/>
        </w:rPr>
      </w:pPr>
      <w:r>
        <w:rPr>
          <w:rFonts w:hint="eastAsia" w:ascii="微软雅黑" w:hAnsi="微软雅黑" w:eastAsia="微软雅黑" w:cs="微软雅黑"/>
          <w:color w:val="auto"/>
          <w:sz w:val="20"/>
          <w:szCs w:val="20"/>
          <w:lang w:val="en-US" w:eastAsia="zh-CN"/>
        </w:rPr>
        <w:t>图</w:t>
      </w:r>
      <w:r>
        <w:rPr>
          <w:rFonts w:ascii="Verdana" w:hAnsi="Verdana"/>
          <w:color w:val="auto"/>
          <w:sz w:val="20"/>
          <w:szCs w:val="20"/>
          <w:lang w:val="en-GB" w:eastAsia="zh-CN"/>
        </w:rPr>
        <w:t>7.4</w:t>
      </w:r>
      <w:r>
        <w:rPr>
          <w:rFonts w:hint="eastAsia" w:ascii="微软雅黑" w:hAnsi="微软雅黑" w:eastAsia="微软雅黑" w:cs="微软雅黑"/>
          <w:color w:val="auto"/>
          <w:sz w:val="20"/>
          <w:szCs w:val="20"/>
          <w:lang w:val="en-GB" w:eastAsia="zh-CN"/>
        </w:rPr>
        <w:t>：</w:t>
      </w:r>
      <w:r>
        <w:rPr>
          <w:rFonts w:hint="eastAsia" w:ascii="Verdana" w:hAnsi="Verdana"/>
          <w:color w:val="auto"/>
          <w:sz w:val="20"/>
          <w:szCs w:val="20"/>
          <w:lang w:val="en-GB" w:eastAsia="zh-CN"/>
        </w:rPr>
        <w:t>Payerne</w:t>
      </w:r>
      <w:r>
        <w:rPr>
          <w:rFonts w:hint="eastAsia" w:ascii="微软雅黑" w:hAnsi="微软雅黑" w:eastAsia="微软雅黑" w:cs="微软雅黑"/>
          <w:color w:val="auto"/>
          <w:sz w:val="20"/>
          <w:szCs w:val="20"/>
          <w:lang w:val="en-GB" w:eastAsia="zh-CN"/>
        </w:rPr>
        <w:t>台站报告的主要部分</w:t>
      </w:r>
    </w:p>
    <w:p>
      <w:pPr>
        <w:pStyle w:val="13"/>
        <w:spacing w:after="240" w:line="240" w:lineRule="exact"/>
        <w:rPr>
          <w:rFonts w:ascii="宋体" w:hAnsi="宋体" w:eastAsia="宋体" w:cs="宋体"/>
          <w:b w:val="0"/>
          <w:bCs w:val="0"/>
          <w:i/>
          <w:iCs/>
          <w:color w:val="auto"/>
          <w:sz w:val="20"/>
          <w:szCs w:val="20"/>
          <w:lang w:val="en-GB" w:eastAsia="zh-CN"/>
        </w:rPr>
      </w:pPr>
      <w:r>
        <w:rPr>
          <w:rFonts w:hint="eastAsia" w:ascii="宋体" w:hAnsi="宋体" w:eastAsia="宋体" w:cs="宋体"/>
          <w:b w:val="0"/>
          <w:bCs w:val="0"/>
          <w:iCs/>
          <w:color w:val="auto"/>
          <w:sz w:val="20"/>
          <w:szCs w:val="20"/>
          <w:lang w:val="en-GB" w:eastAsia="zh-CN"/>
        </w:rPr>
        <w:t>台站报告的“观测/实测”部分提供了在该台站测量的所有变量的信息，以及这些变量从属的计划/网络（“台站特征”部分也提供了相关信息）。例如，瑞士</w:t>
      </w:r>
      <w:r>
        <w:rPr>
          <w:rFonts w:ascii="Verdana" w:hAnsi="Verdana" w:eastAsia="宋体" w:cs="Verdana"/>
          <w:b w:val="0"/>
          <w:bCs w:val="0"/>
          <w:iCs/>
          <w:color w:val="auto"/>
          <w:sz w:val="20"/>
          <w:szCs w:val="20"/>
          <w:lang w:val="en-GB" w:eastAsia="zh-CN"/>
        </w:rPr>
        <w:t>Payerne</w:t>
      </w:r>
      <w:r>
        <w:rPr>
          <w:rFonts w:hint="eastAsia" w:ascii="宋体" w:hAnsi="宋体" w:eastAsia="宋体" w:cs="宋体"/>
          <w:b w:val="0"/>
          <w:bCs w:val="0"/>
          <w:iCs/>
          <w:color w:val="auto"/>
          <w:sz w:val="20"/>
          <w:szCs w:val="20"/>
          <w:lang w:val="en-GB" w:eastAsia="zh-CN"/>
        </w:rPr>
        <w:t>台站从属于</w:t>
      </w:r>
      <w:r>
        <w:rPr>
          <w:rFonts w:ascii="Verdana" w:hAnsi="Verdana" w:eastAsia="宋体" w:cs="Verdana"/>
          <w:b w:val="0"/>
          <w:bCs w:val="0"/>
          <w:iCs/>
          <w:color w:val="auto"/>
          <w:sz w:val="20"/>
          <w:szCs w:val="20"/>
          <w:lang w:val="en-GB" w:eastAsia="zh-CN"/>
        </w:rPr>
        <w:t>GBON</w:t>
      </w:r>
      <w:r>
        <w:rPr>
          <w:rFonts w:hint="eastAsia" w:ascii="宋体" w:hAnsi="宋体" w:eastAsia="宋体" w:cs="宋体"/>
          <w:b w:val="0"/>
          <w:bCs w:val="0"/>
          <w:iCs/>
          <w:color w:val="auto"/>
          <w:sz w:val="20"/>
          <w:szCs w:val="20"/>
          <w:lang w:val="en-GB" w:eastAsia="zh-CN"/>
        </w:rPr>
        <w:t>（图</w:t>
      </w:r>
      <w:r>
        <w:rPr>
          <w:rFonts w:ascii="Verdana" w:hAnsi="Verdana" w:eastAsia="宋体" w:cs="Verdana"/>
          <w:b w:val="0"/>
          <w:bCs w:val="0"/>
          <w:iCs/>
          <w:color w:val="auto"/>
          <w:sz w:val="20"/>
          <w:szCs w:val="20"/>
          <w:lang w:val="en-GB" w:eastAsia="zh-CN"/>
        </w:rPr>
        <w:t>7.5</w:t>
      </w:r>
      <w:r>
        <w:rPr>
          <w:rFonts w:hint="eastAsia" w:ascii="宋体" w:hAnsi="宋体" w:eastAsia="宋体" w:cs="宋体"/>
          <w:b w:val="0"/>
          <w:bCs w:val="0"/>
          <w:iCs/>
          <w:color w:val="auto"/>
          <w:sz w:val="20"/>
          <w:szCs w:val="20"/>
          <w:lang w:val="en-GB" w:eastAsia="zh-CN"/>
        </w:rPr>
        <w:t>），而可变大气压也从属于</w:t>
      </w:r>
      <w:r>
        <w:rPr>
          <w:rFonts w:ascii="Verdana" w:hAnsi="Verdana" w:eastAsia="宋体" w:cs="Verdana"/>
          <w:b w:val="0"/>
          <w:bCs w:val="0"/>
          <w:iCs/>
          <w:color w:val="auto"/>
          <w:sz w:val="20"/>
          <w:szCs w:val="20"/>
          <w:lang w:val="en-GB" w:eastAsia="zh-CN"/>
        </w:rPr>
        <w:t>GBON</w:t>
      </w:r>
      <w:r>
        <w:rPr>
          <w:rFonts w:hint="eastAsia" w:ascii="宋体" w:hAnsi="宋体" w:eastAsia="宋体" w:cs="宋体"/>
          <w:b w:val="0"/>
          <w:bCs w:val="0"/>
          <w:iCs/>
          <w:color w:val="auto"/>
          <w:sz w:val="20"/>
          <w:szCs w:val="20"/>
          <w:lang w:val="en-GB" w:eastAsia="zh-CN"/>
        </w:rPr>
        <w:t>（图</w:t>
      </w:r>
      <w:r>
        <w:rPr>
          <w:rFonts w:ascii="Verdana" w:hAnsi="Verdana" w:eastAsia="宋体" w:cs="Verdana"/>
          <w:b w:val="0"/>
          <w:bCs w:val="0"/>
          <w:iCs/>
          <w:color w:val="auto"/>
          <w:sz w:val="20"/>
          <w:szCs w:val="20"/>
          <w:lang w:val="en-GB" w:eastAsia="zh-CN"/>
        </w:rPr>
        <w:t>7.6</w:t>
      </w:r>
      <w:r>
        <w:rPr>
          <w:rFonts w:hint="eastAsia" w:ascii="宋体" w:hAnsi="宋体" w:eastAsia="宋体" w:cs="宋体"/>
          <w:b w:val="0"/>
          <w:bCs w:val="0"/>
          <w:iCs/>
          <w:color w:val="auto"/>
          <w:sz w:val="20"/>
          <w:szCs w:val="20"/>
          <w:lang w:val="en-GB" w:eastAsia="zh-CN"/>
        </w:rPr>
        <w:t>）。</w:t>
      </w:r>
    </w:p>
    <w:p>
      <w:pPr>
        <w:pStyle w:val="13"/>
        <w:ind w:left="360"/>
        <w:jc w:val="center"/>
        <w:rPr>
          <w:rFonts w:ascii="Verdana" w:hAnsi="Verdana"/>
          <w:i/>
          <w:iCs/>
          <w:sz w:val="20"/>
          <w:szCs w:val="20"/>
          <w:lang w:val="en-GB"/>
        </w:rPr>
      </w:pPr>
      <w:r>
        <w:rPr>
          <w:rFonts w:ascii="Verdana" w:hAnsi="Verdana"/>
          <w:i/>
          <w:iCs/>
          <w:sz w:val="20"/>
          <w:szCs w:val="20"/>
          <w:lang w:val="en-GB"/>
        </w:rPr>
        <w:drawing>
          <wp:inline distT="0" distB="0" distL="0" distR="0">
            <wp:extent cx="5859780" cy="193230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89631" cy="1942200"/>
                    </a:xfrm>
                    <a:prstGeom prst="rect">
                      <a:avLst/>
                    </a:prstGeom>
                    <a:noFill/>
                    <a:ln>
                      <a:noFill/>
                    </a:ln>
                  </pic:spPr>
                </pic:pic>
              </a:graphicData>
            </a:graphic>
          </wp:inline>
        </w:drawing>
      </w:r>
    </w:p>
    <w:p>
      <w:pPr>
        <w:pStyle w:val="13"/>
        <w:spacing w:after="240" w:line="240" w:lineRule="exact"/>
        <w:jc w:val="center"/>
        <w:rPr>
          <w:rFonts w:ascii="微软雅黑" w:hAnsi="微软雅黑" w:eastAsia="微软雅黑" w:cs="微软雅黑"/>
          <w:color w:val="auto"/>
          <w:sz w:val="20"/>
          <w:szCs w:val="20"/>
          <w:lang w:val="en-GB" w:eastAsia="zh-CN"/>
        </w:rPr>
      </w:pPr>
      <w:r>
        <w:rPr>
          <w:rFonts w:hint="eastAsia" w:ascii="微软雅黑" w:hAnsi="微软雅黑" w:eastAsia="微软雅黑" w:cs="微软雅黑"/>
          <w:color w:val="auto"/>
          <w:sz w:val="20"/>
          <w:szCs w:val="20"/>
          <w:lang w:val="en-US" w:eastAsia="zh-CN"/>
        </w:rPr>
        <w:t>图</w:t>
      </w:r>
      <w:r>
        <w:rPr>
          <w:rFonts w:ascii="Verdana" w:hAnsi="Verdana"/>
          <w:color w:val="auto"/>
          <w:sz w:val="20"/>
          <w:szCs w:val="20"/>
          <w:lang w:val="en-GB" w:eastAsia="zh-CN"/>
        </w:rPr>
        <w:t>7.5</w:t>
      </w:r>
      <w:r>
        <w:rPr>
          <w:rFonts w:hint="eastAsia" w:ascii="微软雅黑" w:hAnsi="微软雅黑" w:eastAsia="微软雅黑" w:cs="微软雅黑"/>
          <w:color w:val="auto"/>
          <w:sz w:val="20"/>
          <w:szCs w:val="20"/>
          <w:lang w:val="en-GB" w:eastAsia="zh-CN"/>
        </w:rPr>
        <w:t>：</w:t>
      </w:r>
      <w:r>
        <w:rPr>
          <w:rFonts w:hint="eastAsia" w:ascii="Verdana" w:hAnsi="Verdana" w:eastAsia="宋体"/>
          <w:color w:val="auto"/>
          <w:sz w:val="20"/>
          <w:szCs w:val="20"/>
          <w:lang w:val="en-GB" w:eastAsia="zh-CN"/>
        </w:rPr>
        <w:t>Payerne</w:t>
      </w:r>
      <w:r>
        <w:rPr>
          <w:rFonts w:hint="eastAsia" w:ascii="微软雅黑" w:hAnsi="微软雅黑" w:eastAsia="微软雅黑" w:cs="微软雅黑"/>
          <w:color w:val="auto"/>
          <w:sz w:val="20"/>
          <w:szCs w:val="20"/>
          <w:lang w:val="en-GB" w:eastAsia="zh-CN"/>
        </w:rPr>
        <w:t>台站报告中的计划/网络部分</w:t>
      </w:r>
    </w:p>
    <w:p>
      <w:pPr>
        <w:pStyle w:val="13"/>
        <w:ind w:left="360"/>
        <w:rPr>
          <w:rFonts w:ascii="Verdana" w:hAnsi="Verdana"/>
          <w:i/>
          <w:iCs/>
          <w:sz w:val="20"/>
          <w:szCs w:val="20"/>
          <w:lang w:val="en-GB" w:eastAsia="zh-CN"/>
        </w:rPr>
      </w:pPr>
    </w:p>
    <w:p>
      <w:pPr>
        <w:pStyle w:val="13"/>
        <w:keepNext/>
        <w:rPr>
          <w:lang w:val="en-GB"/>
        </w:rPr>
      </w:pPr>
      <w:r>
        <w:rPr>
          <w:lang w:val="en-GB"/>
        </w:rPr>
        <w:drawing>
          <wp:inline distT="0" distB="0" distL="0" distR="0">
            <wp:extent cx="5760720" cy="31032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103265"/>
                    </a:xfrm>
                    <a:prstGeom prst="rect">
                      <a:avLst/>
                    </a:prstGeom>
                  </pic:spPr>
                </pic:pic>
              </a:graphicData>
            </a:graphic>
          </wp:inline>
        </w:drawing>
      </w:r>
    </w:p>
    <w:p>
      <w:pPr>
        <w:pStyle w:val="13"/>
        <w:ind w:left="360"/>
        <w:jc w:val="center"/>
        <w:rPr>
          <w:rFonts w:ascii="微软雅黑" w:hAnsi="微软雅黑" w:eastAsia="微软雅黑" w:cs="微软雅黑"/>
          <w:color w:val="auto"/>
          <w:sz w:val="20"/>
          <w:szCs w:val="20"/>
          <w:lang w:val="en-GB" w:eastAsia="zh-CN"/>
        </w:rPr>
      </w:pPr>
      <w:r>
        <w:rPr>
          <w:rFonts w:hint="eastAsia" w:ascii="微软雅黑" w:hAnsi="微软雅黑" w:eastAsia="微软雅黑" w:cs="微软雅黑"/>
          <w:color w:val="auto"/>
          <w:sz w:val="20"/>
          <w:szCs w:val="20"/>
          <w:lang w:val="en-US" w:eastAsia="zh-CN"/>
        </w:rPr>
        <w:t>图</w:t>
      </w:r>
      <w:r>
        <w:rPr>
          <w:rFonts w:ascii="Verdana" w:hAnsi="Verdana"/>
          <w:color w:val="auto"/>
          <w:sz w:val="20"/>
          <w:szCs w:val="20"/>
          <w:lang w:val="en-GB" w:eastAsia="zh-CN"/>
        </w:rPr>
        <w:t>7.6</w:t>
      </w:r>
      <w:r>
        <w:rPr>
          <w:rFonts w:hint="eastAsia" w:ascii="微软雅黑" w:hAnsi="微软雅黑" w:eastAsia="微软雅黑" w:cs="微软雅黑"/>
          <w:color w:val="auto"/>
          <w:sz w:val="20"/>
          <w:szCs w:val="20"/>
          <w:lang w:val="en-GB" w:eastAsia="zh-CN"/>
        </w:rPr>
        <w:t>：</w:t>
      </w:r>
      <w:r>
        <w:rPr>
          <w:rFonts w:hint="eastAsia" w:ascii="Verdana" w:hAnsi="Verdana"/>
          <w:color w:val="auto"/>
          <w:sz w:val="20"/>
          <w:szCs w:val="20"/>
          <w:lang w:val="en-GB" w:eastAsia="zh-CN"/>
        </w:rPr>
        <w:t>Payerne</w:t>
      </w:r>
      <w:r>
        <w:rPr>
          <w:rFonts w:hint="eastAsia" w:ascii="微软雅黑" w:hAnsi="微软雅黑" w:eastAsia="微软雅黑" w:cs="微软雅黑"/>
          <w:color w:val="auto"/>
          <w:sz w:val="20"/>
          <w:szCs w:val="20"/>
          <w:lang w:val="en-GB" w:eastAsia="zh-CN"/>
        </w:rPr>
        <w:t>台站报告的观测/实测部分</w:t>
      </w:r>
    </w:p>
    <w:p>
      <w:pPr>
        <w:spacing w:before="480" w:after="200" w:line="276" w:lineRule="auto"/>
        <w:outlineLvl w:val="2"/>
        <w:rPr>
          <w:rStyle w:val="338"/>
          <w:rFonts w:ascii="微软雅黑" w:hAnsi="微软雅黑" w:eastAsia="微软雅黑" w:cs="微软雅黑"/>
          <w:b/>
          <w:bCs/>
          <w:lang w:eastAsia="zh-CN"/>
        </w:rPr>
      </w:pPr>
      <w:r>
        <w:rPr>
          <w:rStyle w:val="338"/>
          <w:rFonts w:eastAsia="Verdana" w:cs="Verdana"/>
          <w:b/>
          <w:bCs/>
          <w:lang w:eastAsia="zh-CN"/>
        </w:rPr>
        <w:t>7.3</w:t>
      </w:r>
      <w:r>
        <w:rPr>
          <w:rStyle w:val="338"/>
          <w:rFonts w:eastAsia="Verdana" w:cs="Verdana"/>
          <w:b/>
          <w:bCs/>
          <w:lang w:eastAsia="zh-CN"/>
        </w:rPr>
        <w:tab/>
      </w:r>
      <w:r>
        <w:rPr>
          <w:rStyle w:val="338"/>
          <w:rFonts w:hint="eastAsia" w:ascii="微软雅黑" w:hAnsi="微软雅黑" w:eastAsia="微软雅黑" w:cs="微软雅黑"/>
          <w:b/>
          <w:bCs/>
          <w:lang w:eastAsia="zh-CN"/>
        </w:rPr>
        <w:t>注册新的</w:t>
      </w:r>
      <w:r>
        <w:rPr>
          <w:rStyle w:val="338"/>
          <w:rFonts w:hint="eastAsia" w:eastAsia="Verdana" w:cs="Verdana"/>
          <w:b/>
          <w:bCs/>
          <w:lang w:eastAsia="zh-CN"/>
        </w:rPr>
        <w:t>GBON</w:t>
      </w:r>
      <w:r>
        <w:rPr>
          <w:rStyle w:val="338"/>
          <w:rFonts w:hint="eastAsia" w:ascii="微软雅黑" w:hAnsi="微软雅黑" w:eastAsia="微软雅黑" w:cs="微软雅黑"/>
          <w:b/>
          <w:bCs/>
          <w:lang w:eastAsia="zh-CN"/>
        </w:rPr>
        <w:t>台站</w:t>
      </w:r>
    </w:p>
    <w:p>
      <w:pPr>
        <w:spacing w:after="240" w:line="240" w:lineRule="exact"/>
        <w:rPr>
          <w:rStyle w:val="338"/>
          <w:rFonts w:ascii="宋体" w:hAnsi="宋体" w:eastAsia="宋体" w:cs="宋体"/>
          <w:lang w:eastAsia="zh-CN"/>
        </w:rPr>
      </w:pPr>
      <w:r>
        <w:rPr>
          <w:rStyle w:val="338"/>
          <w:rFonts w:hint="eastAsia" w:ascii="宋体" w:hAnsi="宋体" w:eastAsia="宋体" w:cs="宋体"/>
          <w:lang w:eastAsia="zh-CN"/>
        </w:rPr>
        <w:t>下文将介绍注册台站的几种不同方法。</w:t>
      </w:r>
    </w:p>
    <w:p>
      <w:pPr>
        <w:spacing w:after="240" w:line="240" w:lineRule="exact"/>
        <w:rPr>
          <w:rStyle w:val="338"/>
          <w:rFonts w:eastAsia="Verdana" w:cs="Verdana"/>
          <w:lang w:eastAsia="zh-CN"/>
        </w:rPr>
      </w:pPr>
      <w:r>
        <w:rPr>
          <w:rStyle w:val="338"/>
          <w:rFonts w:hint="eastAsia" w:ascii="宋体" w:hAnsi="宋体" w:eastAsia="宋体" w:cs="宋体"/>
        </w:rPr>
        <w:t>在</w:t>
      </w:r>
      <w:r>
        <w:fldChar w:fldCharType="begin"/>
      </w:r>
      <w:r>
        <w:instrText xml:space="preserve"> HYPERLINK "https://oscar.wmo.int/surface/" </w:instrText>
      </w:r>
      <w:r>
        <w:fldChar w:fldCharType="separate"/>
      </w:r>
      <w:r>
        <w:rPr>
          <w:rStyle w:val="43"/>
          <w:rFonts w:hint="eastAsia" w:eastAsia="宋体" w:cs="Verdana"/>
          <w:lang w:eastAsia="zh-CN"/>
        </w:rPr>
        <w:t>OSCAR/地表</w:t>
      </w:r>
      <w:r>
        <w:rPr>
          <w:rStyle w:val="43"/>
          <w:rFonts w:eastAsia="宋体" w:cs="Verdana"/>
        </w:rPr>
        <w:fldChar w:fldCharType="end"/>
      </w:r>
      <w:r>
        <w:rPr>
          <w:rStyle w:val="338"/>
          <w:rFonts w:hint="eastAsia" w:ascii="宋体" w:hAnsi="宋体" w:eastAsia="宋体" w:cs="宋体"/>
        </w:rPr>
        <w:t>中注册台站有四种不同的方法：通用</w:t>
      </w:r>
      <w:r>
        <w:rPr>
          <w:rStyle w:val="338"/>
          <w:rFonts w:hint="eastAsia" w:ascii="宋体" w:hAnsi="宋体" w:eastAsia="宋体" w:cs="宋体"/>
          <w:lang w:eastAsia="zh-CN"/>
        </w:rPr>
        <w:t>台站</w:t>
      </w:r>
      <w:r>
        <w:rPr>
          <w:rStyle w:val="338"/>
          <w:rFonts w:hint="eastAsia" w:ascii="宋体" w:hAnsi="宋体" w:eastAsia="宋体" w:cs="宋体"/>
        </w:rPr>
        <w:t>形式、</w:t>
      </w:r>
      <w:r>
        <w:rPr>
          <w:rStyle w:val="338"/>
          <w:rFonts w:hint="eastAsia" w:ascii="宋体" w:hAnsi="宋体" w:eastAsia="宋体" w:cs="宋体"/>
          <w:lang w:eastAsia="zh-CN"/>
        </w:rPr>
        <w:t>台站</w:t>
      </w:r>
      <w:r>
        <w:rPr>
          <w:rStyle w:val="338"/>
          <w:rFonts w:hint="eastAsia" w:ascii="宋体" w:hAnsi="宋体" w:eastAsia="宋体" w:cs="宋体"/>
        </w:rPr>
        <w:t>模板形式、</w:t>
      </w:r>
      <w:r>
        <w:rPr>
          <w:rStyle w:val="338"/>
          <w:rFonts w:hint="eastAsia" w:ascii="宋体" w:hAnsi="宋体" w:eastAsia="宋体" w:cs="宋体"/>
          <w:lang w:eastAsia="zh-CN"/>
        </w:rPr>
        <w:t>网络</w:t>
      </w:r>
      <w:r>
        <w:rPr>
          <w:rStyle w:val="338"/>
          <w:rFonts w:hint="eastAsia" w:ascii="宋体" w:hAnsi="宋体" w:eastAsia="宋体" w:cs="宋体"/>
        </w:rPr>
        <w:t>客户端工具和</w:t>
      </w:r>
      <w:r>
        <w:rPr>
          <w:rStyle w:val="338"/>
          <w:rFonts w:eastAsia="宋体" w:cs="Verdana"/>
        </w:rPr>
        <w:t>XML</w:t>
      </w:r>
      <w:r>
        <w:rPr>
          <w:rStyle w:val="338"/>
          <w:rFonts w:hint="eastAsia" w:ascii="宋体" w:hAnsi="宋体" w:eastAsia="宋体" w:cs="宋体"/>
        </w:rPr>
        <w:t>上传。通用台站形式适合希望拥有完全控制权的高级用户，可以查看和手动编辑</w:t>
      </w:r>
      <w:bookmarkStart w:id="58" w:name="OLE_LINK14"/>
      <w:r>
        <w:fldChar w:fldCharType="begin"/>
      </w:r>
      <w:r>
        <w:rPr>
          <w:rFonts w:eastAsia="宋体" w:cs="Verdana"/>
        </w:rPr>
        <w:instrText xml:space="preserve"> HYPERLINK "https://oscar.wmo.int/surface/" </w:instrText>
      </w:r>
      <w:r>
        <w:fldChar w:fldCharType="separate"/>
      </w:r>
      <w:r>
        <w:rPr>
          <w:rStyle w:val="43"/>
          <w:rFonts w:hint="eastAsia" w:eastAsia="宋体" w:cs="Verdana"/>
          <w:lang w:eastAsia="zh-CN"/>
        </w:rPr>
        <w:t>OSCAR/地表</w:t>
      </w:r>
      <w:r>
        <w:rPr>
          <w:rStyle w:val="43"/>
          <w:rFonts w:eastAsia="宋体" w:cs="Verdana"/>
        </w:rPr>
        <w:fldChar w:fldCharType="end"/>
      </w:r>
      <w:bookmarkEnd w:id="58"/>
      <w:r>
        <w:rPr>
          <w:rStyle w:val="338"/>
          <w:rFonts w:hint="eastAsia" w:ascii="宋体" w:hAnsi="宋体" w:eastAsia="宋体" w:cs="宋体"/>
        </w:rPr>
        <w:t>中的所有字段。</w:t>
      </w:r>
      <w:r>
        <w:rPr>
          <w:rStyle w:val="338"/>
          <w:rFonts w:hint="eastAsia" w:ascii="宋体" w:hAnsi="宋体" w:eastAsia="宋体" w:cs="宋体"/>
          <w:lang w:eastAsia="zh-CN"/>
        </w:rPr>
        <w:t>台站模板形式假设不同类型的台站模板有一组预定义值，注册过程更加简单，适合希望快速注册台站的用户。</w:t>
      </w:r>
      <w:r>
        <w:fldChar w:fldCharType="begin"/>
      </w:r>
      <w:r>
        <w:instrText xml:space="preserve"> HYPERLINK "https://oscar.tools.wmo.int/web-client" \l "createStation" </w:instrText>
      </w:r>
      <w:r>
        <w:fldChar w:fldCharType="separate"/>
      </w:r>
      <w:r>
        <w:rPr>
          <w:rStyle w:val="43"/>
          <w:rFonts w:hint="eastAsia" w:eastAsia="宋体" w:cs="Verdana"/>
          <w:lang w:eastAsia="zh-CN"/>
        </w:rPr>
        <w:t>网络</w:t>
      </w:r>
      <w:r>
        <w:rPr>
          <w:rStyle w:val="43"/>
          <w:rFonts w:hint="eastAsia" w:ascii="宋体" w:hAnsi="宋体" w:eastAsia="宋体" w:cs="宋体"/>
          <w:lang w:eastAsia="zh-CN"/>
        </w:rPr>
        <w:t>客户端工具</w:t>
      </w:r>
      <w:r>
        <w:rPr>
          <w:rStyle w:val="43"/>
          <w:rFonts w:hint="eastAsia" w:ascii="宋体" w:hAnsi="宋体" w:eastAsia="宋体" w:cs="宋体"/>
          <w:lang w:eastAsia="zh-CN"/>
        </w:rPr>
        <w:fldChar w:fldCharType="end"/>
      </w:r>
      <w:r>
        <w:rPr>
          <w:rStyle w:val="338"/>
          <w:rFonts w:hint="eastAsia" w:ascii="宋体" w:hAnsi="宋体" w:eastAsia="宋体" w:cs="宋体"/>
          <w:lang w:eastAsia="zh-CN"/>
        </w:rPr>
        <w:t>有助于简单自动地注册一组台站。</w:t>
      </w:r>
      <w:r>
        <w:rPr>
          <w:rStyle w:val="338"/>
          <w:rFonts w:eastAsia="宋体" w:cs="Verdana"/>
          <w:lang w:eastAsia="zh-CN"/>
        </w:rPr>
        <w:t>XML</w:t>
      </w:r>
      <w:r>
        <w:rPr>
          <w:rStyle w:val="338"/>
          <w:rFonts w:hint="eastAsia" w:ascii="宋体" w:hAnsi="宋体" w:eastAsia="宋体" w:cs="宋体"/>
          <w:lang w:eastAsia="zh-CN"/>
        </w:rPr>
        <w:t>上传供</w:t>
      </w:r>
      <w:r>
        <w:fldChar w:fldCharType="begin"/>
      </w:r>
      <w:r>
        <w:rPr>
          <w:lang w:eastAsia="zh-CN"/>
        </w:rPr>
        <w:instrText xml:space="preserve">HYPERLINK "https://oscar.wmo.int/surface/"</w:instrText>
      </w:r>
      <w:r>
        <w:fldChar w:fldCharType="separate"/>
      </w:r>
      <w:r>
        <w:rPr>
          <w:rStyle w:val="43"/>
          <w:rFonts w:hint="eastAsia" w:eastAsia="宋体" w:cs="Verdana"/>
          <w:lang w:eastAsia="zh-CN"/>
        </w:rPr>
        <w:t>OSCAR/地表</w:t>
      </w:r>
      <w:r>
        <w:rPr>
          <w:rStyle w:val="43"/>
          <w:rFonts w:eastAsia="宋体" w:cs="Verdana"/>
        </w:rPr>
        <w:fldChar w:fldCharType="end"/>
      </w:r>
      <w:r>
        <w:rPr>
          <w:rStyle w:val="338"/>
          <w:rFonts w:hint="eastAsia" w:ascii="宋体" w:hAnsi="宋体" w:eastAsia="宋体" w:cs="宋体"/>
          <w:lang w:eastAsia="zh-CN"/>
        </w:rPr>
        <w:t>的高级用户使用，或用于以机器对机器可读格式交换元数据信息。</w:t>
      </w:r>
    </w:p>
    <w:p>
      <w:pPr>
        <w:spacing w:after="240" w:line="240" w:lineRule="exact"/>
        <w:rPr>
          <w:rStyle w:val="338"/>
          <w:rFonts w:ascii="微软雅黑" w:hAnsi="微软雅黑" w:eastAsia="微软雅黑" w:cs="微软雅黑"/>
          <w:b/>
          <w:bCs/>
          <w:lang w:eastAsia="zh-CN"/>
        </w:rPr>
      </w:pPr>
      <w:r>
        <w:rPr>
          <w:rStyle w:val="338"/>
          <w:rFonts w:eastAsia="Verdana" w:cs="Verdana"/>
          <w:b/>
          <w:bCs/>
          <w:lang w:eastAsia="zh-CN"/>
        </w:rPr>
        <w:t>7.3.1</w:t>
      </w:r>
      <w:r>
        <w:rPr>
          <w:rStyle w:val="338"/>
          <w:rFonts w:eastAsia="Verdana" w:cs="Verdana"/>
          <w:b/>
          <w:bCs/>
          <w:lang w:eastAsia="zh-CN"/>
        </w:rPr>
        <w:tab/>
      </w:r>
      <w:r>
        <w:rPr>
          <w:rStyle w:val="338"/>
          <w:rFonts w:hint="eastAsia" w:ascii="微软雅黑" w:hAnsi="微软雅黑" w:eastAsia="微软雅黑" w:cs="微软雅黑"/>
          <w:b/>
          <w:bCs/>
          <w:lang w:eastAsia="zh-CN"/>
        </w:rPr>
        <w:t>如何借助通用形式注册新的</w:t>
      </w:r>
      <w:r>
        <w:rPr>
          <w:rStyle w:val="338"/>
          <w:rFonts w:hint="eastAsia" w:eastAsia="Verdana" w:cs="Verdana"/>
          <w:b/>
          <w:bCs/>
          <w:lang w:eastAsia="zh-CN"/>
        </w:rPr>
        <w:t>GBON</w:t>
      </w:r>
      <w:r>
        <w:rPr>
          <w:rStyle w:val="338"/>
          <w:rFonts w:hint="eastAsia" w:ascii="微软雅黑" w:hAnsi="微软雅黑" w:eastAsia="微软雅黑" w:cs="微软雅黑"/>
          <w:b/>
          <w:bCs/>
          <w:lang w:eastAsia="zh-CN"/>
        </w:rPr>
        <w:t>台站</w:t>
      </w:r>
    </w:p>
    <w:p>
      <w:pPr>
        <w:spacing w:after="240" w:line="240" w:lineRule="exact"/>
        <w:rPr>
          <w:rStyle w:val="338"/>
          <w:rFonts w:ascii="宋体" w:hAnsi="宋体" w:eastAsia="宋体" w:cs="宋体"/>
          <w:color w:val="000000"/>
          <w:shd w:val="clear" w:color="auto" w:fill="FFFFFF"/>
          <w:lang w:eastAsia="zh-CN"/>
        </w:rPr>
      </w:pPr>
      <w:r>
        <w:rPr>
          <w:rStyle w:val="338"/>
          <w:rFonts w:hint="eastAsia" w:ascii="宋体" w:hAnsi="宋体" w:eastAsia="宋体" w:cs="宋体"/>
          <w:color w:val="000000"/>
          <w:shd w:val="clear" w:color="auto" w:fill="FFFFFF"/>
          <w:lang w:eastAsia="zh-CN"/>
        </w:rPr>
        <w:t>通用形式的页面包含五部分内容，与台站报告的结构相同，即台站特征、观测/实测、台站联系人、参考文献和文件。注册用户（通常为</w:t>
      </w:r>
      <w:r>
        <w:rPr>
          <w:rStyle w:val="338"/>
          <w:rFonts w:hint="eastAsia" w:eastAsia="宋体" w:cs="Verdana"/>
          <w:color w:val="000000"/>
          <w:shd w:val="clear" w:color="auto" w:fill="FFFFFF"/>
          <w:lang w:eastAsia="zh-CN"/>
        </w:rPr>
        <w:t>OSCAR/地表</w:t>
      </w:r>
      <w:r>
        <w:rPr>
          <w:rStyle w:val="338"/>
          <w:rFonts w:hint="eastAsia" w:ascii="宋体" w:hAnsi="宋体" w:eastAsia="宋体" w:cs="宋体"/>
          <w:color w:val="000000"/>
          <w:shd w:val="clear" w:color="auto" w:fill="FFFFFF"/>
          <w:lang w:eastAsia="zh-CN"/>
        </w:rPr>
        <w:t>国家联络人）可以输入/编辑每个部分的信息。要在</w:t>
      </w:r>
      <w:r>
        <w:fldChar w:fldCharType="begin"/>
      </w:r>
      <w:r>
        <w:instrText xml:space="preserve"> HYPERLINK "https://oscar.wmo.int/surface/" </w:instrText>
      </w:r>
      <w:r>
        <w:fldChar w:fldCharType="separate"/>
      </w:r>
      <w:r>
        <w:rPr>
          <w:rStyle w:val="43"/>
          <w:rFonts w:hint="eastAsia" w:eastAsia="宋体" w:cs="Verdana"/>
          <w:lang w:eastAsia="zh-CN"/>
        </w:rPr>
        <w:t>OSCAR/地表</w:t>
      </w:r>
      <w:r>
        <w:rPr>
          <w:rStyle w:val="43"/>
          <w:rFonts w:eastAsia="宋体" w:cs="Verdana"/>
          <w:lang w:eastAsia="zh-CN"/>
        </w:rPr>
        <w:fldChar w:fldCharType="end"/>
      </w:r>
      <w:r>
        <w:rPr>
          <w:rStyle w:val="338"/>
          <w:rFonts w:hint="eastAsia" w:ascii="宋体" w:hAnsi="宋体" w:eastAsia="宋体" w:cs="宋体"/>
          <w:color w:val="000000"/>
          <w:shd w:val="clear" w:color="auto" w:fill="FFFFFF"/>
          <w:lang w:eastAsia="zh-CN"/>
        </w:rPr>
        <w:t>中保存台站，必须填写某些内容，如台站名称。除非填写了</w:t>
      </w:r>
      <w:r>
        <w:rPr>
          <w:rStyle w:val="338"/>
          <w:rFonts w:hint="eastAsia" w:eastAsia="宋体" w:cs="Verdana"/>
          <w:color w:val="000000"/>
          <w:shd w:val="clear" w:color="auto" w:fill="FFFFFF"/>
          <w:lang w:eastAsia="zh-CN"/>
        </w:rPr>
        <w:t>OSCAR/地表</w:t>
      </w:r>
      <w:r>
        <w:rPr>
          <w:rStyle w:val="338"/>
          <w:rFonts w:hint="eastAsia" w:ascii="宋体" w:hAnsi="宋体" w:eastAsia="宋体" w:cs="宋体"/>
          <w:color w:val="000000"/>
          <w:shd w:val="clear" w:color="auto" w:fill="FFFFFF"/>
          <w:lang w:eastAsia="zh-CN"/>
        </w:rPr>
        <w:t>中的所有必填项（标有红色星号），否则无法注册台站。</w:t>
      </w:r>
    </w:p>
    <w:p>
      <w:pPr>
        <w:spacing w:after="240" w:line="240" w:lineRule="exact"/>
        <w:rPr>
          <w:rStyle w:val="338"/>
          <w:rFonts w:ascii="宋体" w:hAnsi="宋体" w:eastAsia="宋体" w:cs="宋体"/>
          <w:color w:val="000000"/>
          <w:shd w:val="clear" w:color="auto" w:fill="FFFFFF"/>
          <w:lang w:eastAsia="zh-CN"/>
        </w:rPr>
      </w:pPr>
      <w:r>
        <w:rPr>
          <w:rStyle w:val="338"/>
          <w:rFonts w:hint="eastAsia" w:ascii="宋体" w:hAnsi="宋体" w:eastAsia="宋体" w:cs="宋体"/>
          <w:color w:val="000000"/>
          <w:shd w:val="clear" w:color="auto" w:fill="FFFFFF"/>
          <w:lang w:eastAsia="zh-CN"/>
        </w:rPr>
        <w:t>要用通用模板形式注册新的</w:t>
      </w:r>
      <w:r>
        <w:rPr>
          <w:rStyle w:val="338"/>
          <w:rFonts w:eastAsia="宋体" w:cs="Verdana"/>
          <w:color w:val="000000"/>
          <w:shd w:val="clear" w:color="auto" w:fill="FFFFFF"/>
          <w:lang w:eastAsia="zh-CN"/>
        </w:rPr>
        <w:t>GBON</w:t>
      </w:r>
      <w:r>
        <w:rPr>
          <w:rStyle w:val="338"/>
          <w:rFonts w:hint="eastAsia" w:ascii="宋体" w:hAnsi="宋体" w:eastAsia="宋体" w:cs="宋体"/>
          <w:color w:val="000000"/>
          <w:shd w:val="clear" w:color="auto" w:fill="FFFFFF"/>
          <w:lang w:eastAsia="zh-CN"/>
        </w:rPr>
        <w:t>台站，需要在计划/网络部分中填写台站与</w:t>
      </w:r>
      <w:r>
        <w:rPr>
          <w:rStyle w:val="338"/>
          <w:rFonts w:eastAsia="宋体" w:cs="Verdana"/>
          <w:color w:val="000000"/>
          <w:shd w:val="clear" w:color="auto" w:fill="FFFFFF"/>
          <w:lang w:eastAsia="zh-CN"/>
        </w:rPr>
        <w:t>GBON</w:t>
      </w:r>
      <w:r>
        <w:rPr>
          <w:rStyle w:val="338"/>
          <w:rFonts w:hint="eastAsia" w:ascii="宋体" w:hAnsi="宋体" w:eastAsia="宋体" w:cs="宋体"/>
          <w:color w:val="000000"/>
          <w:shd w:val="clear" w:color="auto" w:fill="FFFFFF"/>
          <w:lang w:eastAsia="zh-CN"/>
        </w:rPr>
        <w:t>的从属关系（图</w:t>
      </w:r>
      <w:r>
        <w:rPr>
          <w:rStyle w:val="338"/>
          <w:rFonts w:eastAsia="宋体" w:cs="Verdana"/>
          <w:color w:val="000000"/>
          <w:shd w:val="clear" w:color="auto" w:fill="FFFFFF"/>
          <w:lang w:eastAsia="zh-CN"/>
        </w:rPr>
        <w:t>7.7</w:t>
      </w:r>
      <w:r>
        <w:rPr>
          <w:rStyle w:val="338"/>
          <w:rFonts w:hint="eastAsia" w:ascii="宋体" w:hAnsi="宋体" w:eastAsia="宋体" w:cs="宋体"/>
          <w:color w:val="000000"/>
          <w:shd w:val="clear" w:color="auto" w:fill="FFFFFF"/>
          <w:lang w:eastAsia="zh-CN"/>
        </w:rPr>
        <w:t>）。可以在点击“添加计划/网络”后，在计划/网络树中搜索</w:t>
      </w:r>
      <w:r>
        <w:rPr>
          <w:rStyle w:val="338"/>
          <w:rFonts w:eastAsia="宋体" w:cs="Verdana"/>
          <w:color w:val="000000"/>
          <w:shd w:val="clear" w:color="auto" w:fill="FFFFFF"/>
          <w:lang w:eastAsia="zh-CN"/>
        </w:rPr>
        <w:t>GBON</w:t>
      </w:r>
      <w:r>
        <w:rPr>
          <w:rStyle w:val="338"/>
          <w:rFonts w:hint="eastAsia" w:ascii="宋体" w:hAnsi="宋体" w:eastAsia="宋体" w:cs="宋体"/>
          <w:color w:val="000000"/>
          <w:shd w:val="clear" w:color="auto" w:fill="FFFFFF"/>
          <w:lang w:eastAsia="zh-CN"/>
        </w:rPr>
        <w:t>条目。随后，点击“添加测量计划”（图</w:t>
      </w:r>
      <w:r>
        <w:rPr>
          <w:rStyle w:val="338"/>
          <w:rFonts w:eastAsia="宋体" w:cs="Verdana"/>
          <w:color w:val="000000"/>
          <w:shd w:val="clear" w:color="auto" w:fill="FFFFFF"/>
          <w:lang w:eastAsia="zh-CN"/>
        </w:rPr>
        <w:t>7.8</w:t>
      </w:r>
      <w:r>
        <w:rPr>
          <w:rStyle w:val="338"/>
          <w:rFonts w:hint="eastAsia" w:ascii="宋体" w:hAnsi="宋体" w:eastAsia="宋体" w:cs="宋体"/>
          <w:color w:val="000000"/>
          <w:shd w:val="clear" w:color="auto" w:fill="FFFFFF"/>
          <w:lang w:eastAsia="zh-CN"/>
        </w:rPr>
        <w:t>），可将所有实测变量添加到“观测/实测”部分。计划/网络树的搜索功能也可用于查找变量。在选择了对</w:t>
      </w:r>
      <w:r>
        <w:rPr>
          <w:rStyle w:val="338"/>
          <w:rFonts w:eastAsia="宋体" w:cs="Verdana"/>
          <w:color w:val="000000"/>
          <w:shd w:val="clear" w:color="auto" w:fill="FFFFFF"/>
          <w:lang w:eastAsia="zh-CN"/>
        </w:rPr>
        <w:t>GBON</w:t>
      </w:r>
      <w:r>
        <w:rPr>
          <w:rStyle w:val="338"/>
          <w:rFonts w:hint="eastAsia" w:ascii="宋体" w:hAnsi="宋体" w:eastAsia="宋体" w:cs="宋体"/>
          <w:color w:val="000000"/>
          <w:shd w:val="clear" w:color="auto" w:fill="FFFFFF"/>
          <w:lang w:eastAsia="zh-CN"/>
        </w:rPr>
        <w:t>有贡献的变量之后，还需要从计划/网络树中选择该变量将其纳入</w:t>
      </w:r>
      <w:r>
        <w:rPr>
          <w:rStyle w:val="338"/>
          <w:rFonts w:eastAsia="宋体" w:cs="Verdana"/>
          <w:color w:val="000000"/>
          <w:shd w:val="clear" w:color="auto" w:fill="FFFFFF"/>
          <w:lang w:eastAsia="zh-CN"/>
        </w:rPr>
        <w:t>GBON</w:t>
      </w:r>
      <w:r>
        <w:rPr>
          <w:rStyle w:val="338"/>
          <w:rFonts w:hint="eastAsia" w:ascii="宋体" w:hAnsi="宋体" w:eastAsia="宋体" w:cs="宋体"/>
          <w:color w:val="000000"/>
          <w:shd w:val="clear" w:color="auto" w:fill="FFFFFF"/>
          <w:lang w:eastAsia="zh-CN"/>
        </w:rPr>
        <w:t>。</w:t>
      </w:r>
    </w:p>
    <w:p>
      <w:pPr>
        <w:spacing w:before="120" w:line="276" w:lineRule="auto"/>
        <w:ind w:left="360"/>
        <w:rPr>
          <w:rStyle w:val="338"/>
          <w:color w:val="000000"/>
          <w:shd w:val="clear" w:color="auto" w:fill="FFFFFF"/>
          <w:lang w:eastAsia="zh-CN"/>
        </w:rPr>
      </w:pPr>
    </w:p>
    <w:p>
      <w:pPr>
        <w:keepNext/>
        <w:spacing w:before="120" w:line="276" w:lineRule="auto"/>
        <w:ind w:left="360"/>
      </w:pPr>
      <w:r>
        <w:drawing>
          <wp:inline distT="0" distB="0" distL="0" distR="0">
            <wp:extent cx="5760720" cy="1019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6"/>
                    <a:stretch>
                      <a:fillRect/>
                    </a:stretch>
                  </pic:blipFill>
                  <pic:spPr>
                    <a:xfrm>
                      <a:off x="0" y="0"/>
                      <a:ext cx="5760720" cy="1019175"/>
                    </a:xfrm>
                    <a:prstGeom prst="rect">
                      <a:avLst/>
                    </a:prstGeom>
                  </pic:spPr>
                </pic:pic>
              </a:graphicData>
            </a:graphic>
          </wp:inline>
        </w:drawing>
      </w:r>
    </w:p>
    <w:p>
      <w:pPr>
        <w:pStyle w:val="13"/>
        <w:spacing w:before="240" w:after="240" w:line="240" w:lineRule="auto"/>
        <w:jc w:val="center"/>
        <w:rPr>
          <w:rFonts w:ascii="微软雅黑" w:hAnsi="微软雅黑" w:eastAsia="微软雅黑" w:cs="微软雅黑"/>
          <w:color w:val="auto"/>
          <w:sz w:val="20"/>
          <w:szCs w:val="20"/>
          <w:lang w:val="en-GB" w:eastAsia="zh-CN"/>
        </w:rPr>
      </w:pPr>
      <w:r>
        <w:rPr>
          <w:rFonts w:hint="eastAsia" w:ascii="微软雅黑" w:hAnsi="微软雅黑" w:eastAsia="微软雅黑" w:cs="微软雅黑"/>
          <w:color w:val="auto"/>
          <w:sz w:val="20"/>
          <w:szCs w:val="20"/>
          <w:lang w:val="en-US" w:eastAsia="zh-CN"/>
        </w:rPr>
        <w:t>图</w:t>
      </w:r>
      <w:r>
        <w:rPr>
          <w:rFonts w:ascii="Verdana" w:hAnsi="Verdana"/>
          <w:color w:val="auto"/>
          <w:sz w:val="20"/>
          <w:szCs w:val="20"/>
          <w:lang w:val="en-GB" w:eastAsia="zh-CN"/>
        </w:rPr>
        <w:t>7.7</w:t>
      </w:r>
      <w:r>
        <w:rPr>
          <w:rFonts w:hint="eastAsia" w:ascii="微软雅黑" w:hAnsi="微软雅黑" w:eastAsia="微软雅黑" w:cs="微软雅黑"/>
          <w:color w:val="auto"/>
          <w:sz w:val="20"/>
          <w:szCs w:val="20"/>
          <w:lang w:val="en-GB" w:eastAsia="zh-CN"/>
        </w:rPr>
        <w:t>：通用形式的计划/网络部分</w:t>
      </w:r>
    </w:p>
    <w:p>
      <w:pPr>
        <w:pStyle w:val="13"/>
        <w:rPr>
          <w:rFonts w:ascii="Verdana" w:hAnsi="Verdana"/>
          <w:lang w:val="en-GB" w:eastAsia="zh-CN"/>
        </w:rPr>
      </w:pPr>
    </w:p>
    <w:p>
      <w:pPr>
        <w:pStyle w:val="13"/>
        <w:keepNext/>
        <w:rPr>
          <w:lang w:val="en-GB"/>
        </w:rPr>
      </w:pPr>
      <w:r>
        <w:rPr>
          <w:lang w:val="en-GB"/>
        </w:rPr>
        <w:drawing>
          <wp:inline distT="0" distB="0" distL="0" distR="0">
            <wp:extent cx="5760720" cy="27533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7"/>
                    <a:stretch>
                      <a:fillRect/>
                    </a:stretch>
                  </pic:blipFill>
                  <pic:spPr>
                    <a:xfrm>
                      <a:off x="0" y="0"/>
                      <a:ext cx="5760720" cy="2753360"/>
                    </a:xfrm>
                    <a:prstGeom prst="rect">
                      <a:avLst/>
                    </a:prstGeom>
                  </pic:spPr>
                </pic:pic>
              </a:graphicData>
            </a:graphic>
          </wp:inline>
        </w:drawing>
      </w:r>
    </w:p>
    <w:p>
      <w:pPr>
        <w:pStyle w:val="13"/>
        <w:spacing w:before="240" w:after="240" w:line="240" w:lineRule="auto"/>
        <w:jc w:val="center"/>
        <w:rPr>
          <w:rFonts w:ascii="微软雅黑" w:hAnsi="微软雅黑" w:eastAsia="微软雅黑" w:cs="微软雅黑"/>
          <w:color w:val="auto"/>
          <w:sz w:val="20"/>
          <w:szCs w:val="20"/>
          <w:lang w:val="en-GB" w:eastAsia="zh-CN"/>
        </w:rPr>
      </w:pPr>
      <w:bookmarkStart w:id="59" w:name="OLE_LINK15"/>
      <w:r>
        <w:rPr>
          <w:rFonts w:hint="eastAsia" w:ascii="微软雅黑" w:hAnsi="微软雅黑" w:eastAsia="微软雅黑" w:cs="微软雅黑"/>
          <w:color w:val="auto"/>
          <w:sz w:val="20"/>
          <w:szCs w:val="20"/>
          <w:lang w:val="en-US" w:eastAsia="zh-CN"/>
        </w:rPr>
        <w:t>图</w:t>
      </w:r>
      <w:bookmarkEnd w:id="59"/>
      <w:r>
        <w:rPr>
          <w:rFonts w:ascii="Verdana" w:hAnsi="Verdana"/>
          <w:color w:val="auto"/>
          <w:sz w:val="20"/>
          <w:szCs w:val="20"/>
          <w:lang w:val="en-GB" w:eastAsia="zh-CN"/>
        </w:rPr>
        <w:t>7.8</w:t>
      </w:r>
      <w:r>
        <w:rPr>
          <w:rFonts w:hint="eastAsia" w:ascii="微软雅黑" w:hAnsi="微软雅黑" w:eastAsia="微软雅黑" w:cs="微软雅黑"/>
          <w:color w:val="auto"/>
          <w:sz w:val="20"/>
          <w:szCs w:val="20"/>
          <w:lang w:val="en-GB" w:eastAsia="zh-CN"/>
        </w:rPr>
        <w:t>：“添加测量计划”的窗口</w:t>
      </w:r>
    </w:p>
    <w:p>
      <w:pPr>
        <w:pStyle w:val="13"/>
        <w:rPr>
          <w:rFonts w:ascii="Verdana" w:hAnsi="Verdana"/>
          <w:b w:val="0"/>
          <w:bCs w:val="0"/>
          <w:color w:val="auto"/>
          <w:sz w:val="20"/>
          <w:szCs w:val="20"/>
          <w:lang w:val="en-GB" w:eastAsia="zh-CN"/>
        </w:rPr>
      </w:pPr>
      <w:r>
        <w:rPr>
          <w:rFonts w:hint="eastAsia" w:ascii="宋体" w:hAnsi="宋体" w:eastAsia="宋体" w:cs="宋体"/>
          <w:b w:val="0"/>
          <w:bCs w:val="0"/>
          <w:color w:val="auto"/>
          <w:sz w:val="20"/>
          <w:szCs w:val="20"/>
          <w:lang w:val="en-GB" w:eastAsia="zh-CN"/>
        </w:rPr>
        <w:t>添加变量后，还必须规定测量结果的报告计划。</w:t>
      </w:r>
      <w:r>
        <w:rPr>
          <w:rFonts w:hint="eastAsia" w:ascii="宋体" w:hAnsi="宋体" w:eastAsia="宋体" w:cs="宋体"/>
          <w:b w:val="0"/>
          <w:bCs w:val="0"/>
          <w:color w:val="auto"/>
          <w:sz w:val="20"/>
          <w:szCs w:val="20"/>
          <w:lang w:val="en-US" w:eastAsia="zh-CN"/>
        </w:rPr>
        <w:t>可以</w:t>
      </w:r>
      <w:r>
        <w:rPr>
          <w:rFonts w:hint="eastAsia" w:ascii="宋体" w:hAnsi="宋体" w:eastAsia="宋体" w:cs="宋体"/>
          <w:b w:val="0"/>
          <w:bCs w:val="0"/>
          <w:color w:val="auto"/>
          <w:sz w:val="20"/>
          <w:szCs w:val="20"/>
          <w:lang w:val="en-GB" w:eastAsia="zh-CN"/>
        </w:rPr>
        <w:t>单击刚刚创建的部署下的“添加数据生成”，在打开的窗口中设置测量结果的报告计划（图</w:t>
      </w:r>
      <w:r>
        <w:rPr>
          <w:rFonts w:ascii="Verdana" w:hAnsi="Verdana" w:eastAsia="宋体" w:cs="Verdana"/>
          <w:b w:val="0"/>
          <w:bCs w:val="0"/>
          <w:color w:val="auto"/>
          <w:sz w:val="20"/>
          <w:szCs w:val="20"/>
          <w:lang w:val="en-GB" w:eastAsia="zh-CN"/>
        </w:rPr>
        <w:t>7.9</w:t>
      </w:r>
      <w:r>
        <w:rPr>
          <w:rFonts w:hint="eastAsia" w:ascii="宋体" w:hAnsi="宋体" w:eastAsia="宋体" w:cs="宋体"/>
          <w:b w:val="0"/>
          <w:bCs w:val="0"/>
          <w:color w:val="auto"/>
          <w:sz w:val="20"/>
          <w:szCs w:val="20"/>
          <w:lang w:val="en-GB" w:eastAsia="zh-CN"/>
        </w:rPr>
        <w:t>）。根据</w:t>
      </w:r>
      <w:r>
        <w:rPr>
          <w:rFonts w:ascii="Verdana" w:hAnsi="Verdana" w:eastAsia="宋体" w:cs="Verdana"/>
          <w:b w:val="0"/>
          <w:bCs w:val="0"/>
          <w:color w:val="auto"/>
          <w:sz w:val="20"/>
          <w:szCs w:val="20"/>
          <w:lang w:val="en-GB" w:eastAsia="zh-CN"/>
        </w:rPr>
        <w:t>GBON</w:t>
      </w:r>
      <w:r>
        <w:rPr>
          <w:rFonts w:hint="eastAsia" w:ascii="宋体" w:hAnsi="宋体" w:eastAsia="宋体" w:cs="宋体"/>
          <w:b w:val="0"/>
          <w:bCs w:val="0"/>
          <w:color w:val="auto"/>
          <w:sz w:val="20"/>
          <w:szCs w:val="20"/>
          <w:lang w:val="en-GB" w:eastAsia="zh-CN"/>
        </w:rPr>
        <w:t>要求，</w:t>
      </w:r>
      <w:r>
        <w:rPr>
          <w:rFonts w:ascii="Verdana" w:hAnsi="Verdana" w:eastAsia="宋体" w:cs="Verdana"/>
          <w:b w:val="0"/>
          <w:bCs w:val="0"/>
          <w:color w:val="auto"/>
          <w:sz w:val="20"/>
          <w:szCs w:val="20"/>
          <w:lang w:val="en-GB" w:eastAsia="zh-CN"/>
        </w:rPr>
        <w:t>GBON</w:t>
      </w:r>
      <w:r>
        <w:rPr>
          <w:rFonts w:hint="eastAsia" w:ascii="宋体" w:hAnsi="宋体" w:eastAsia="宋体" w:cs="宋体"/>
          <w:b w:val="0"/>
          <w:bCs w:val="0"/>
          <w:color w:val="auto"/>
          <w:sz w:val="20"/>
          <w:szCs w:val="20"/>
          <w:lang w:val="en-GB" w:eastAsia="zh-CN"/>
        </w:rPr>
        <w:t>地面站应设置为每小时报告一次。</w:t>
      </w:r>
    </w:p>
    <w:p>
      <w:pPr>
        <w:pStyle w:val="13"/>
        <w:rPr>
          <w:rFonts w:ascii="Verdana" w:hAnsi="Verdana"/>
          <w:i/>
          <w:iCs/>
          <w:sz w:val="20"/>
          <w:szCs w:val="20"/>
          <w:lang w:val="en-GB" w:eastAsia="zh-CN"/>
        </w:rPr>
      </w:pPr>
    </w:p>
    <w:p>
      <w:pPr>
        <w:pStyle w:val="13"/>
        <w:keepNext/>
        <w:rPr>
          <w:lang w:val="en-GB"/>
        </w:rPr>
      </w:pPr>
      <w:r>
        <w:rPr>
          <w:lang w:val="en-GB"/>
        </w:rPr>
        <w:drawing>
          <wp:inline distT="0" distB="0" distL="0" distR="0">
            <wp:extent cx="5760720" cy="3333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8"/>
                    <a:stretch>
                      <a:fillRect/>
                    </a:stretch>
                  </pic:blipFill>
                  <pic:spPr>
                    <a:xfrm>
                      <a:off x="0" y="0"/>
                      <a:ext cx="5760720" cy="3333750"/>
                    </a:xfrm>
                    <a:prstGeom prst="rect">
                      <a:avLst/>
                    </a:prstGeom>
                  </pic:spPr>
                </pic:pic>
              </a:graphicData>
            </a:graphic>
          </wp:inline>
        </w:drawing>
      </w:r>
    </w:p>
    <w:p>
      <w:pPr>
        <w:pStyle w:val="13"/>
        <w:spacing w:before="240" w:after="240" w:line="240" w:lineRule="auto"/>
        <w:jc w:val="center"/>
        <w:rPr>
          <w:rStyle w:val="338"/>
          <w:rFonts w:ascii="微软雅黑" w:hAnsi="微软雅黑" w:eastAsia="微软雅黑" w:cs="微软雅黑"/>
          <w:b w:val="0"/>
          <w:bCs w:val="0"/>
          <w:i/>
          <w:iCs/>
          <w:color w:val="auto"/>
          <w:sz w:val="20"/>
          <w:szCs w:val="20"/>
          <w:lang w:val="en-US" w:eastAsia="zh-CN"/>
        </w:rPr>
      </w:pPr>
      <w:r>
        <w:rPr>
          <w:rFonts w:hint="eastAsia" w:ascii="微软雅黑" w:hAnsi="微软雅黑" w:eastAsia="微软雅黑" w:cs="微软雅黑"/>
          <w:color w:val="auto"/>
          <w:sz w:val="20"/>
          <w:szCs w:val="20"/>
          <w:lang w:val="en-US" w:eastAsia="zh-CN"/>
        </w:rPr>
        <w:t>图</w:t>
      </w:r>
      <w:r>
        <w:rPr>
          <w:rFonts w:ascii="Verdana" w:hAnsi="Verdana"/>
          <w:color w:val="auto"/>
          <w:sz w:val="20"/>
          <w:szCs w:val="20"/>
          <w:lang w:val="en-GB" w:eastAsia="zh-CN"/>
        </w:rPr>
        <w:t>7.9</w:t>
      </w:r>
      <w:r>
        <w:rPr>
          <w:rFonts w:hint="eastAsia" w:ascii="微软雅黑" w:hAnsi="微软雅黑" w:eastAsia="微软雅黑" w:cs="微软雅黑"/>
          <w:color w:val="auto"/>
          <w:sz w:val="20"/>
          <w:szCs w:val="20"/>
          <w:lang w:val="en-GB" w:eastAsia="zh-CN"/>
        </w:rPr>
        <w:t>：“添加数据生成”的</w:t>
      </w:r>
      <w:r>
        <w:rPr>
          <w:rFonts w:hint="eastAsia" w:ascii="微软雅黑" w:hAnsi="微软雅黑" w:eastAsia="微软雅黑" w:cs="微软雅黑"/>
          <w:color w:val="auto"/>
          <w:sz w:val="20"/>
          <w:szCs w:val="20"/>
          <w:lang w:val="en-US" w:eastAsia="zh-CN"/>
        </w:rPr>
        <w:t>窗口</w:t>
      </w:r>
    </w:p>
    <w:p>
      <w:pPr>
        <w:rPr>
          <w:rStyle w:val="338"/>
          <w:rFonts w:eastAsia="Verdana" w:cs="Verdana"/>
          <w:b/>
          <w:bCs/>
          <w:lang w:eastAsia="zh-CN"/>
        </w:rPr>
      </w:pPr>
    </w:p>
    <w:p>
      <w:pPr>
        <w:spacing w:after="240" w:line="240" w:lineRule="exact"/>
        <w:rPr>
          <w:rStyle w:val="338"/>
          <w:rFonts w:ascii="微软雅黑" w:hAnsi="微软雅黑" w:eastAsia="微软雅黑" w:cs="微软雅黑"/>
          <w:b/>
          <w:bCs/>
          <w:lang w:eastAsia="zh-CN"/>
        </w:rPr>
      </w:pPr>
      <w:r>
        <w:rPr>
          <w:rStyle w:val="338"/>
          <w:rFonts w:eastAsia="Verdana" w:cs="Verdana"/>
          <w:b/>
          <w:bCs/>
          <w:lang w:eastAsia="zh-CN"/>
        </w:rPr>
        <w:t xml:space="preserve">7.3.2 </w:t>
      </w:r>
      <w:r>
        <w:rPr>
          <w:rStyle w:val="338"/>
          <w:rFonts w:eastAsia="Verdana" w:cs="Verdana"/>
          <w:b/>
          <w:bCs/>
          <w:lang w:eastAsia="zh-CN"/>
        </w:rPr>
        <w:tab/>
      </w:r>
      <w:r>
        <w:rPr>
          <w:rStyle w:val="338"/>
          <w:rFonts w:hint="eastAsia" w:ascii="微软雅黑" w:hAnsi="微软雅黑" w:eastAsia="微软雅黑" w:cs="微软雅黑"/>
          <w:b/>
          <w:bCs/>
          <w:lang w:eastAsia="zh-CN"/>
        </w:rPr>
        <w:t>如何借助台站模板形式注册新的</w:t>
      </w:r>
      <w:r>
        <w:rPr>
          <w:rStyle w:val="338"/>
          <w:rFonts w:hint="eastAsia" w:eastAsia="Verdana" w:cs="Verdana"/>
          <w:b/>
          <w:bCs/>
          <w:lang w:eastAsia="zh-CN"/>
        </w:rPr>
        <w:t>GBON</w:t>
      </w:r>
      <w:r>
        <w:rPr>
          <w:rStyle w:val="338"/>
          <w:rFonts w:hint="eastAsia" w:ascii="微软雅黑" w:hAnsi="微软雅黑" w:eastAsia="微软雅黑" w:cs="微软雅黑"/>
          <w:b/>
          <w:bCs/>
          <w:lang w:eastAsia="zh-CN"/>
        </w:rPr>
        <w:t>地面站</w:t>
      </w:r>
    </w:p>
    <w:p>
      <w:pPr>
        <w:spacing w:after="240" w:line="240" w:lineRule="exact"/>
        <w:rPr>
          <w:rFonts w:ascii="宋体" w:hAnsi="宋体" w:eastAsia="宋体" w:cs="宋体"/>
          <w:b/>
          <w:bCs/>
          <w:lang w:eastAsia="zh-CN"/>
        </w:rPr>
      </w:pPr>
      <w:r>
        <w:rPr>
          <w:rFonts w:hint="eastAsia" w:ascii="宋体" w:hAnsi="宋体" w:eastAsia="宋体" w:cs="宋体"/>
          <w:lang w:eastAsia="zh-CN"/>
        </w:rPr>
        <w:t>要注册新的</w:t>
      </w:r>
      <w:r>
        <w:rPr>
          <w:rFonts w:hint="eastAsia" w:ascii="微软雅黑" w:hAnsi="微软雅黑" w:eastAsia="微软雅黑" w:cs="微软雅黑"/>
          <w:lang w:eastAsia="zh-CN"/>
        </w:rPr>
        <w:t>GBON</w:t>
      </w:r>
      <w:r>
        <w:rPr>
          <w:rFonts w:hint="eastAsia" w:ascii="宋体" w:hAnsi="宋体" w:eastAsia="宋体" w:cs="宋体"/>
          <w:lang w:eastAsia="zh-CN"/>
        </w:rPr>
        <w:t>地面站，可以使用</w:t>
      </w:r>
      <w:r>
        <w:rPr>
          <w:rFonts w:hint="eastAsia" w:ascii="微软雅黑" w:hAnsi="微软雅黑" w:eastAsia="微软雅黑" w:cs="微软雅黑"/>
          <w:lang w:eastAsia="zh-CN"/>
        </w:rPr>
        <w:t>GBON</w:t>
      </w:r>
      <w:r>
        <w:rPr>
          <w:rFonts w:hint="eastAsia" w:ascii="宋体" w:hAnsi="宋体" w:eastAsia="宋体" w:cs="宋体"/>
          <w:lang w:eastAsia="zh-CN"/>
        </w:rPr>
        <w:t>地面</w:t>
      </w:r>
      <w:r>
        <w:rPr>
          <w:rFonts w:hint="eastAsia" w:ascii="宋体" w:hAnsi="宋体" w:eastAsia="宋体" w:cs="宋体"/>
          <w:lang w:val="en-US" w:eastAsia="zh-CN"/>
        </w:rPr>
        <w:t>站</w:t>
      </w:r>
      <w:r>
        <w:rPr>
          <w:rFonts w:hint="eastAsia" w:ascii="宋体" w:hAnsi="宋体" w:eastAsia="宋体" w:cs="宋体"/>
          <w:lang w:eastAsia="zh-CN"/>
        </w:rPr>
        <w:t>模板。从管理控制台的列表中（图</w:t>
      </w:r>
      <w:r>
        <w:rPr>
          <w:rFonts w:hint="eastAsia" w:ascii="微软雅黑" w:hAnsi="微软雅黑" w:eastAsia="微软雅黑" w:cs="微软雅黑"/>
          <w:lang w:eastAsia="zh-CN"/>
        </w:rPr>
        <w:t>7.10</w:t>
      </w:r>
      <w:r>
        <w:rPr>
          <w:rFonts w:hint="eastAsia" w:ascii="宋体" w:hAnsi="宋体" w:eastAsia="宋体" w:cs="宋体"/>
          <w:lang w:eastAsia="zh-CN"/>
        </w:rPr>
        <w:t>），选择“</w:t>
      </w:r>
      <w:r>
        <w:rPr>
          <w:rFonts w:hint="eastAsia" w:ascii="微软雅黑" w:hAnsi="微软雅黑" w:eastAsia="微软雅黑" w:cs="微软雅黑"/>
          <w:lang w:eastAsia="zh-CN"/>
        </w:rPr>
        <w:t>GBON</w:t>
      </w:r>
      <w:r>
        <w:rPr>
          <w:rFonts w:hint="eastAsia" w:ascii="宋体" w:hAnsi="宋体" w:eastAsia="宋体" w:cs="宋体"/>
          <w:lang w:eastAsia="zh-CN"/>
        </w:rPr>
        <w:t>地面站”的模板。</w:t>
      </w:r>
    </w:p>
    <w:p>
      <w:pPr>
        <w:rPr>
          <w:rFonts w:asciiTheme="majorBidi" w:hAnsiTheme="majorBidi"/>
          <w:sz w:val="24"/>
          <w:szCs w:val="24"/>
        </w:rPr>
      </w:pPr>
      <w:r>
        <w:rPr>
          <w:rFonts w:asciiTheme="majorBidi" w:hAnsiTheme="majorBidi"/>
          <w:sz w:val="24"/>
          <w:szCs w:val="24"/>
        </w:rPr>
        <w:drawing>
          <wp:inline distT="0" distB="0" distL="0" distR="0">
            <wp:extent cx="5274310" cy="6428740"/>
            <wp:effectExtent l="0" t="0" r="2540" b="0"/>
            <wp:docPr id="33" name="图片 4"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图形用户界面, 表格&#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6428740"/>
                    </a:xfrm>
                    <a:prstGeom prst="rect">
                      <a:avLst/>
                    </a:prstGeom>
                  </pic:spPr>
                </pic:pic>
              </a:graphicData>
            </a:graphic>
          </wp:inline>
        </w:drawing>
      </w:r>
    </w:p>
    <w:p>
      <w:pPr>
        <w:spacing w:after="240" w:line="240" w:lineRule="exact"/>
        <w:jc w:val="center"/>
        <w:rPr>
          <w:rFonts w:ascii="微软雅黑" w:hAnsi="微软雅黑" w:eastAsia="微软雅黑" w:cs="微软雅黑"/>
          <w:b/>
          <w:bCs/>
          <w:iCs/>
          <w:color w:val="auto"/>
          <w:lang w:eastAsia="zh-CN"/>
        </w:rPr>
      </w:pPr>
      <w:r>
        <w:rPr>
          <w:rFonts w:hint="eastAsia" w:ascii="微软雅黑" w:hAnsi="微软雅黑" w:eastAsia="微软雅黑" w:cs="微软雅黑"/>
          <w:b/>
          <w:bCs/>
          <w:color w:val="auto"/>
          <w:lang w:val="en-US" w:eastAsia="zh-CN"/>
        </w:rPr>
        <w:t>图</w:t>
      </w:r>
      <w:r>
        <w:rPr>
          <w:rFonts w:eastAsia="Calibri"/>
          <w:b/>
          <w:bCs/>
          <w:iCs/>
          <w:color w:val="auto"/>
          <w:lang w:eastAsia="zh-CN"/>
        </w:rPr>
        <w:t>7.10</w:t>
      </w:r>
      <w:r>
        <w:rPr>
          <w:rFonts w:hint="eastAsia" w:ascii="微软雅黑" w:hAnsi="微软雅黑" w:eastAsia="微软雅黑" w:cs="微软雅黑"/>
          <w:b/>
          <w:bCs/>
          <w:iCs/>
          <w:color w:val="auto"/>
          <w:lang w:eastAsia="zh-CN"/>
        </w:rPr>
        <w:t>：</w:t>
      </w:r>
      <w:r>
        <w:rPr>
          <w:rFonts w:hint="eastAsia" w:eastAsia="Calibri"/>
          <w:b/>
          <w:bCs/>
          <w:iCs/>
          <w:color w:val="auto"/>
          <w:lang w:eastAsia="zh-CN"/>
        </w:rPr>
        <w:t>GBON</w:t>
      </w:r>
      <w:r>
        <w:rPr>
          <w:rFonts w:hint="eastAsia" w:ascii="微软雅黑" w:hAnsi="微软雅黑" w:eastAsia="微软雅黑" w:cs="微软雅黑"/>
          <w:b/>
          <w:bCs/>
          <w:iCs/>
          <w:color w:val="auto"/>
          <w:lang w:eastAsia="zh-CN"/>
        </w:rPr>
        <w:t>地面站模板的界面</w:t>
      </w:r>
    </w:p>
    <w:p>
      <w:pPr>
        <w:spacing w:after="240" w:line="240" w:lineRule="exact"/>
        <w:rPr>
          <w:rStyle w:val="43"/>
          <w:rFonts w:ascii="宋体" w:hAnsi="宋体" w:eastAsia="宋体" w:cs="宋体"/>
          <w:lang w:eastAsia="zh-CN"/>
        </w:rPr>
      </w:pPr>
      <w:r>
        <w:rPr>
          <w:rFonts w:hint="eastAsia" w:ascii="宋体" w:hAnsi="宋体" w:eastAsia="宋体" w:cs="宋体"/>
          <w:lang w:eastAsia="zh-CN"/>
        </w:rPr>
        <w:t>选择</w:t>
      </w:r>
      <w:r>
        <w:rPr>
          <w:rFonts w:eastAsia="宋体" w:cs="Verdana"/>
          <w:lang w:eastAsia="zh-CN"/>
        </w:rPr>
        <w:t>GBON</w:t>
      </w:r>
      <w:r>
        <w:rPr>
          <w:rFonts w:hint="eastAsia" w:ascii="宋体" w:hAnsi="宋体" w:eastAsia="宋体" w:cs="宋体"/>
          <w:lang w:eastAsia="zh-CN"/>
        </w:rPr>
        <w:t>地面站模板后，屏幕上会显示三个部分（模板的上部、中部和下部），每个部分包含几个输入字段。上部要求提供台站的基本信息，也是在</w:t>
      </w:r>
      <w:r>
        <w:fldChar w:fldCharType="begin"/>
      </w:r>
      <w:r>
        <w:instrText xml:space="preserve"> HYPERLINK "https://oscar.wmo.int/surface/" </w:instrText>
      </w:r>
      <w:r>
        <w:fldChar w:fldCharType="separate"/>
      </w:r>
      <w:r>
        <w:rPr>
          <w:rStyle w:val="43"/>
          <w:rFonts w:hint="eastAsia" w:eastAsia="宋体" w:cs="Verdana"/>
          <w:lang w:eastAsia="zh-CN"/>
        </w:rPr>
        <w:t>OSCAR/地表</w:t>
      </w:r>
      <w:r>
        <w:rPr>
          <w:rStyle w:val="43"/>
          <w:rFonts w:eastAsia="宋体" w:cs="Verdana"/>
          <w:lang w:eastAsia="zh-CN"/>
        </w:rPr>
        <w:fldChar w:fldCharType="end"/>
      </w:r>
      <w:r>
        <w:rPr>
          <w:rFonts w:hint="eastAsia" w:ascii="宋体" w:hAnsi="宋体" w:eastAsia="宋体" w:cs="宋体"/>
          <w:lang w:eastAsia="zh-CN"/>
        </w:rPr>
        <w:t>中注册台站的必填项，例如（台站）名称、建立日期、国家/地区、</w:t>
      </w:r>
      <w:r>
        <w:rPr>
          <w:rFonts w:eastAsia="宋体" w:cs="Verdana"/>
          <w:lang w:eastAsia="zh-CN"/>
        </w:rPr>
        <w:t>WSI</w:t>
      </w:r>
      <w:r>
        <w:rPr>
          <w:rFonts w:hint="eastAsia" w:ascii="宋体" w:hAnsi="宋体" w:eastAsia="宋体" w:cs="宋体"/>
          <w:lang w:eastAsia="zh-CN"/>
        </w:rPr>
        <w:t>和（地理）坐标。</w:t>
      </w:r>
    </w:p>
    <w:p>
      <w:pPr>
        <w:spacing w:after="240" w:line="240" w:lineRule="exact"/>
        <w:rPr>
          <w:rFonts w:ascii="宋体" w:hAnsi="宋体" w:eastAsia="宋体" w:cs="宋体"/>
          <w:lang w:eastAsia="zh-CN"/>
        </w:rPr>
      </w:pPr>
      <w:r>
        <w:rPr>
          <w:rFonts w:hint="eastAsia" w:ascii="宋体" w:hAnsi="宋体" w:eastAsia="宋体" w:cs="宋体"/>
          <w:lang w:eastAsia="zh-CN"/>
        </w:rPr>
        <w:t>中部显示了</w:t>
      </w:r>
      <w:r>
        <w:rPr>
          <w:rFonts w:eastAsia="宋体" w:cs="Verdana"/>
          <w:lang w:eastAsia="zh-CN"/>
        </w:rPr>
        <w:t>GBON</w:t>
      </w:r>
      <w:r>
        <w:rPr>
          <w:rFonts w:hint="eastAsia" w:ascii="宋体" w:hAnsi="宋体" w:eastAsia="宋体" w:cs="宋体"/>
          <w:lang w:eastAsia="zh-CN"/>
        </w:rPr>
        <w:t>地面站需要实测/观测和报告的所有变量的列表，若台站所处位置预计有降雪，则需要实测/观测和报告雪深值。点击每个字段/变量旁边的菜单按钮，可以从预过滤树中选择每个变量对应的观测方法。</w:t>
      </w:r>
    </w:p>
    <w:p>
      <w:pPr>
        <w:spacing w:after="240" w:line="240" w:lineRule="exact"/>
        <w:rPr>
          <w:rFonts w:ascii="宋体" w:hAnsi="宋体" w:eastAsia="宋体" w:cs="宋体"/>
          <w:lang w:eastAsia="zh-CN"/>
        </w:rPr>
      </w:pPr>
      <w:r>
        <w:rPr>
          <w:rFonts w:hint="eastAsia" w:ascii="宋体" w:hAnsi="宋体" w:eastAsia="宋体" w:cs="宋体"/>
          <w:lang w:eastAsia="zh-CN"/>
        </w:rPr>
        <w:t>可以使用模板下部所示的计划界面设置报告计划。根据</w:t>
      </w:r>
      <w:r>
        <w:rPr>
          <w:rFonts w:eastAsia="宋体" w:cs="Verdana"/>
          <w:lang w:eastAsia="zh-CN"/>
        </w:rPr>
        <w:t>GBON</w:t>
      </w:r>
      <w:r>
        <w:rPr>
          <w:rFonts w:hint="eastAsia" w:ascii="宋体" w:hAnsi="宋体" w:eastAsia="宋体" w:cs="宋体"/>
          <w:lang w:eastAsia="zh-CN"/>
        </w:rPr>
        <w:t>的要求，</w:t>
      </w:r>
      <w:r>
        <w:rPr>
          <w:rFonts w:eastAsia="宋体" w:cs="Verdana"/>
          <w:lang w:eastAsia="zh-CN"/>
        </w:rPr>
        <w:t>GBON</w:t>
      </w:r>
      <w:r>
        <w:rPr>
          <w:rFonts w:hint="eastAsia" w:ascii="宋体" w:hAnsi="宋体" w:eastAsia="宋体" w:cs="宋体"/>
          <w:lang w:eastAsia="zh-CN"/>
        </w:rPr>
        <w:t>地面站的报告间隔被设定为“每小时”报告一次，报告周期被设定“全年</w:t>
      </w:r>
      <w:r>
        <w:rPr>
          <w:rFonts w:eastAsia="宋体" w:cs="Verdana"/>
          <w:lang w:eastAsia="zh-CN"/>
        </w:rPr>
        <w:t>24/7</w:t>
      </w:r>
      <w:r>
        <w:rPr>
          <w:rFonts w:hint="eastAsia" w:ascii="宋体" w:hAnsi="宋体" w:eastAsia="宋体" w:cs="宋体"/>
          <w:lang w:eastAsia="zh-CN"/>
        </w:rPr>
        <w:t>”无间断。</w:t>
      </w:r>
    </w:p>
    <w:p>
      <w:pPr>
        <w:spacing w:after="240" w:line="240" w:lineRule="exact"/>
        <w:rPr>
          <w:rFonts w:ascii="宋体" w:hAnsi="宋体" w:eastAsia="宋体" w:cs="宋体"/>
          <w:lang w:eastAsia="zh-CN"/>
        </w:rPr>
      </w:pPr>
      <w:r>
        <w:rPr>
          <w:rFonts w:hint="eastAsia" w:ascii="宋体" w:hAnsi="宋体" w:eastAsia="宋体" w:cs="宋体"/>
          <w:lang w:eastAsia="zh-CN"/>
        </w:rPr>
        <w:t>点击“审查和确认”按钮，确认</w:t>
      </w:r>
      <w:r>
        <w:rPr>
          <w:rFonts w:hint="eastAsia" w:ascii="宋体" w:hAnsi="宋体" w:eastAsia="宋体" w:cs="宋体"/>
          <w:lang w:val="en-US" w:eastAsia="zh-CN"/>
        </w:rPr>
        <w:t>已填写完成</w:t>
      </w:r>
      <w:r>
        <w:rPr>
          <w:rFonts w:hint="eastAsia" w:ascii="宋体" w:hAnsi="宋体" w:eastAsia="宋体" w:cs="宋体"/>
          <w:lang w:eastAsia="zh-CN"/>
        </w:rPr>
        <w:t>模版。随后，可以在通用形式中看到输入模板的所有信息以及其它自动预填充的必填字段，如“台站类型”和“计划/网络”（均根据</w:t>
      </w:r>
      <w:r>
        <w:rPr>
          <w:rFonts w:eastAsia="宋体" w:cs="Verdana"/>
          <w:lang w:eastAsia="zh-CN"/>
        </w:rPr>
        <w:t>GBON</w:t>
      </w:r>
      <w:r>
        <w:rPr>
          <w:rFonts w:hint="eastAsia" w:ascii="宋体" w:hAnsi="宋体" w:eastAsia="宋体" w:cs="宋体"/>
          <w:lang w:eastAsia="zh-CN"/>
        </w:rPr>
        <w:t>地面站的要求填写）。借助通用形式可以编辑其中的任何字段，也可以单击“</w:t>
      </w:r>
      <w:r>
        <w:rPr>
          <w:rFonts w:hint="eastAsia" w:eastAsia="宋体" w:cs="Verdana"/>
          <w:lang w:eastAsia="zh-CN"/>
        </w:rPr>
        <w:t>编辑模版</w:t>
      </w:r>
      <w:r>
        <w:rPr>
          <w:rFonts w:hint="eastAsia" w:ascii="宋体" w:hAnsi="宋体" w:eastAsia="宋体" w:cs="宋体"/>
          <w:lang w:eastAsia="zh-CN"/>
        </w:rPr>
        <w:t>”返回模板形式。但是，返回模板形式后，在通用形式中更改的信息都将丢失。</w:t>
      </w:r>
    </w:p>
    <w:p>
      <w:pPr>
        <w:spacing w:after="240" w:line="240" w:lineRule="exact"/>
        <w:rPr>
          <w:rStyle w:val="338"/>
          <w:rFonts w:ascii="微软雅黑" w:hAnsi="微软雅黑" w:eastAsia="微软雅黑" w:cs="微软雅黑"/>
          <w:b/>
          <w:bCs/>
        </w:rPr>
      </w:pPr>
      <w:r>
        <w:rPr>
          <w:rStyle w:val="338"/>
          <w:rFonts w:eastAsia="Verdana" w:cs="Verdana"/>
          <w:b/>
          <w:bCs/>
        </w:rPr>
        <w:t>7.3.3</w:t>
      </w:r>
      <w:r>
        <w:rPr>
          <w:rStyle w:val="338"/>
          <w:rFonts w:eastAsia="Verdana" w:cs="Verdana"/>
          <w:b/>
          <w:bCs/>
        </w:rPr>
        <w:tab/>
      </w:r>
      <w:r>
        <w:rPr>
          <w:rStyle w:val="338"/>
          <w:rFonts w:hint="eastAsia" w:ascii="微软雅黑" w:hAnsi="微软雅黑" w:eastAsia="微软雅黑" w:cs="微软雅黑"/>
          <w:b/>
          <w:bCs/>
        </w:rPr>
        <w:t>如何使用</w:t>
      </w:r>
      <w:r>
        <w:rPr>
          <w:rStyle w:val="338"/>
          <w:rFonts w:hint="eastAsia" w:eastAsia="宋体" w:cs="Verdana"/>
          <w:b/>
          <w:bCs/>
          <w:lang w:eastAsia="zh-CN"/>
        </w:rPr>
        <w:t>OSCAR/</w:t>
      </w:r>
      <w:r>
        <w:rPr>
          <w:rStyle w:val="338"/>
          <w:rFonts w:hint="eastAsia" w:ascii="微软雅黑" w:hAnsi="微软雅黑" w:eastAsia="微软雅黑" w:cs="微软雅黑"/>
          <w:b/>
          <w:bCs/>
          <w:lang w:eastAsia="zh-CN"/>
        </w:rPr>
        <w:t>地表</w:t>
      </w:r>
      <w:r>
        <w:rPr>
          <w:rStyle w:val="338"/>
          <w:rFonts w:hint="eastAsia" w:ascii="微软雅黑" w:hAnsi="微软雅黑" w:eastAsia="微软雅黑" w:cs="微软雅黑"/>
          <w:b/>
          <w:bCs/>
        </w:rPr>
        <w:t>网络客户</w:t>
      </w:r>
      <w:r>
        <w:rPr>
          <w:rStyle w:val="338"/>
          <w:rFonts w:hint="eastAsia" w:ascii="微软雅黑" w:hAnsi="微软雅黑" w:eastAsia="微软雅黑" w:cs="微软雅黑"/>
          <w:b/>
          <w:bCs/>
          <w:lang w:val="en-US"/>
        </w:rPr>
        <w:t>端</w:t>
      </w:r>
      <w:r>
        <w:rPr>
          <w:rStyle w:val="338"/>
          <w:rFonts w:hint="eastAsia" w:ascii="微软雅黑" w:hAnsi="微软雅黑" w:eastAsia="微软雅黑" w:cs="微软雅黑"/>
          <w:b/>
          <w:bCs/>
        </w:rPr>
        <w:t>工具注册新的</w:t>
      </w:r>
      <w:r>
        <w:rPr>
          <w:rStyle w:val="338"/>
          <w:rFonts w:hint="eastAsia" w:eastAsia="Verdana" w:cs="Verdana"/>
          <w:b/>
          <w:bCs/>
        </w:rPr>
        <w:t>GBON</w:t>
      </w:r>
      <w:r>
        <w:rPr>
          <w:rStyle w:val="338"/>
          <w:rFonts w:hint="eastAsia" w:ascii="微软雅黑" w:hAnsi="微软雅黑" w:eastAsia="微软雅黑" w:cs="微软雅黑"/>
          <w:b/>
          <w:bCs/>
        </w:rPr>
        <w:t>台站</w:t>
      </w:r>
    </w:p>
    <w:p>
      <w:pPr>
        <w:spacing w:after="240" w:line="240" w:lineRule="exact"/>
        <w:rPr>
          <w:rStyle w:val="338"/>
          <w:rFonts w:eastAsia="Verdana" w:cs="Verdana"/>
          <w:b/>
          <w:bCs/>
          <w:lang w:eastAsia="zh-CN"/>
        </w:rPr>
      </w:pPr>
      <w:r>
        <w:rPr>
          <w:rStyle w:val="338"/>
          <w:rFonts w:hint="eastAsia" w:eastAsia="宋体"/>
          <w:color w:val="606060"/>
          <w:shd w:val="clear" w:color="auto" w:fill="FFFFFF"/>
          <w:lang w:eastAsia="zh-CN"/>
        </w:rPr>
        <w:t>OSCAR/地表</w:t>
      </w:r>
      <w:r>
        <w:rPr>
          <w:rStyle w:val="338"/>
          <w:rFonts w:hint="eastAsia"/>
          <w:color w:val="000000"/>
          <w:shd w:val="clear" w:color="auto" w:fill="FFFFFF"/>
        </w:rPr>
        <w:t>网络客户端工具（</w:t>
      </w:r>
      <w:r>
        <w:rPr>
          <w:rStyle w:val="338"/>
          <w:rFonts w:hint="eastAsia"/>
          <w:i/>
          <w:iCs/>
          <w:color w:val="000000"/>
          <w:shd w:val="clear" w:color="auto" w:fill="FFFFFF"/>
        </w:rPr>
        <w:t>https://oscar.tools.wmo.int/web-client</w:t>
      </w:r>
      <w:r>
        <w:rPr>
          <w:rStyle w:val="338"/>
          <w:rFonts w:hint="eastAsia"/>
          <w:color w:val="000000"/>
          <w:shd w:val="clear" w:color="auto" w:fill="FFFFFF"/>
        </w:rPr>
        <w:t>）是一个允许批</w:t>
      </w:r>
      <w:r>
        <w:rPr>
          <w:rStyle w:val="338"/>
          <w:rFonts w:hint="eastAsia" w:ascii="宋体" w:hAnsi="宋体" w:eastAsia="宋体" w:cs="微软雅黑"/>
          <w:color w:val="000000"/>
          <w:shd w:val="clear" w:color="auto" w:fill="FFFFFF"/>
          <w:lang w:eastAsia="zh-CN"/>
        </w:rPr>
        <w:t>量</w:t>
      </w:r>
      <w:r>
        <w:rPr>
          <w:rStyle w:val="338"/>
          <w:rFonts w:hint="eastAsia" w:ascii="宋体" w:hAnsi="宋体" w:eastAsia="宋体"/>
          <w:color w:val="000000"/>
          <w:shd w:val="clear" w:color="auto" w:fill="FFFFFF"/>
        </w:rPr>
        <w:t>操</w:t>
      </w:r>
      <w:r>
        <w:rPr>
          <w:rStyle w:val="338"/>
          <w:rFonts w:hint="eastAsia"/>
          <w:color w:val="000000"/>
          <w:shd w:val="clear" w:color="auto" w:fill="FFFFFF"/>
        </w:rPr>
        <w:t>作的外部应用程序。</w:t>
      </w:r>
      <w:r>
        <w:rPr>
          <w:rStyle w:val="338"/>
          <w:rFonts w:hint="eastAsia"/>
          <w:color w:val="000000"/>
          <w:shd w:val="clear" w:color="auto" w:fill="FFFFFF"/>
          <w:lang w:eastAsia="zh-CN"/>
        </w:rPr>
        <w:t>这意味着</w:t>
      </w:r>
      <w:r>
        <w:fldChar w:fldCharType="begin"/>
      </w:r>
      <w:r>
        <w:instrText xml:space="preserve"> HYPERLINK "https://oscar.wmo.int/surface/" </w:instrText>
      </w:r>
      <w:r>
        <w:fldChar w:fldCharType="separate"/>
      </w:r>
      <w:r>
        <w:rPr>
          <w:rStyle w:val="43"/>
          <w:rFonts w:hint="eastAsia"/>
          <w:lang w:eastAsia="zh-CN"/>
        </w:rPr>
        <w:t>OSCAR/地表</w:t>
      </w:r>
      <w:r>
        <w:rPr>
          <w:rStyle w:val="43"/>
          <w:lang w:eastAsia="zh-CN"/>
        </w:rPr>
        <w:fldChar w:fldCharType="end"/>
      </w:r>
      <w:r>
        <w:rPr>
          <w:rStyle w:val="338"/>
          <w:rFonts w:hint="eastAsia"/>
          <w:color w:val="000000"/>
          <w:shd w:val="clear" w:color="auto" w:fill="FFFFFF"/>
          <w:lang w:eastAsia="zh-CN"/>
        </w:rPr>
        <w:t>中的元数据更改可以同时应用于多个</w:t>
      </w:r>
      <w:r>
        <w:rPr>
          <w:rStyle w:val="338"/>
          <w:rFonts w:hint="eastAsia" w:ascii="宋体" w:hAnsi="宋体" w:eastAsia="宋体" w:cs="微软雅黑"/>
          <w:color w:val="000000"/>
          <w:shd w:val="clear" w:color="auto" w:fill="FFFFFF"/>
          <w:lang w:eastAsia="zh-CN"/>
        </w:rPr>
        <w:t>台站</w:t>
      </w:r>
      <w:r>
        <w:rPr>
          <w:rStyle w:val="338"/>
          <w:rFonts w:hint="eastAsia"/>
          <w:color w:val="000000"/>
          <w:shd w:val="clear" w:color="auto" w:fill="FFFFFF"/>
          <w:lang w:eastAsia="zh-CN"/>
        </w:rPr>
        <w:t>，用户不必</w:t>
      </w:r>
      <w:r>
        <w:rPr>
          <w:rStyle w:val="338"/>
          <w:rFonts w:hint="eastAsia" w:ascii="宋体" w:hAnsi="宋体" w:eastAsia="宋体" w:cs="微软雅黑"/>
          <w:color w:val="000000"/>
          <w:shd w:val="clear" w:color="auto" w:fill="FFFFFF"/>
          <w:lang w:eastAsia="zh-CN"/>
        </w:rPr>
        <w:t>逐一</w:t>
      </w:r>
      <w:r>
        <w:rPr>
          <w:rStyle w:val="338"/>
          <w:rFonts w:hint="eastAsia"/>
          <w:color w:val="000000"/>
          <w:shd w:val="clear" w:color="auto" w:fill="FFFFFF"/>
          <w:lang w:eastAsia="zh-CN"/>
        </w:rPr>
        <w:t>手动输入每个</w:t>
      </w:r>
      <w:r>
        <w:rPr>
          <w:rStyle w:val="338"/>
          <w:rFonts w:hint="eastAsia" w:ascii="宋体" w:hAnsi="宋体" w:eastAsia="宋体" w:cs="微软雅黑"/>
          <w:color w:val="000000"/>
          <w:shd w:val="clear" w:color="auto" w:fill="FFFFFF"/>
          <w:lang w:eastAsia="zh-CN"/>
        </w:rPr>
        <w:t>台站</w:t>
      </w:r>
      <w:r>
        <w:rPr>
          <w:rStyle w:val="338"/>
          <w:rFonts w:hint="eastAsia"/>
          <w:color w:val="000000"/>
          <w:shd w:val="clear" w:color="auto" w:fill="FFFFFF"/>
          <w:lang w:eastAsia="zh-CN"/>
        </w:rPr>
        <w:t>的信息。目前的版本支持创建新的台站，更改WSI，更</w:t>
      </w:r>
      <w:r>
        <w:rPr>
          <w:rStyle w:val="338"/>
          <w:rFonts w:hint="eastAsia" w:ascii="宋体" w:hAnsi="宋体" w:eastAsia="宋体"/>
          <w:color w:val="000000"/>
          <w:shd w:val="clear" w:color="auto" w:fill="FFFFFF"/>
          <w:lang w:eastAsia="zh-CN"/>
        </w:rPr>
        <w:t>改</w:t>
      </w:r>
      <w:r>
        <w:rPr>
          <w:rStyle w:val="338"/>
          <w:rFonts w:hint="eastAsia" w:ascii="宋体" w:hAnsi="宋体" w:eastAsia="宋体" w:cs="微软雅黑"/>
          <w:color w:val="000000"/>
          <w:shd w:val="clear" w:color="auto" w:fill="FFFFFF"/>
          <w:lang w:eastAsia="zh-CN"/>
        </w:rPr>
        <w:t>计划</w:t>
      </w:r>
      <w:r>
        <w:rPr>
          <w:rStyle w:val="338"/>
          <w:rFonts w:hint="eastAsia" w:ascii="宋体" w:hAnsi="宋体" w:eastAsia="宋体"/>
          <w:color w:val="000000"/>
          <w:shd w:val="clear" w:color="auto" w:fill="FFFFFF"/>
          <w:lang w:eastAsia="zh-CN"/>
        </w:rPr>
        <w:t>和</w:t>
      </w:r>
      <w:r>
        <w:rPr>
          <w:rStyle w:val="338"/>
          <w:rFonts w:hint="eastAsia" w:ascii="宋体" w:hAnsi="宋体" w:eastAsia="宋体" w:cs="微软雅黑"/>
          <w:color w:val="000000"/>
          <w:shd w:val="clear" w:color="auto" w:fill="FFFFFF"/>
          <w:lang w:eastAsia="zh-CN"/>
        </w:rPr>
        <w:t>在</w:t>
      </w:r>
      <w:r>
        <w:rPr>
          <w:rStyle w:val="338"/>
          <w:rFonts w:hint="eastAsia" w:ascii="宋体" w:hAnsi="宋体" w:eastAsia="宋体"/>
          <w:color w:val="000000"/>
          <w:shd w:val="clear" w:color="auto" w:fill="FFFFFF"/>
          <w:lang w:eastAsia="zh-CN"/>
        </w:rPr>
        <w:t>计划/网络（</w:t>
      </w:r>
      <w:r>
        <w:rPr>
          <w:rStyle w:val="338"/>
          <w:rFonts w:hint="eastAsia" w:ascii="宋体" w:hAnsi="宋体" w:eastAsia="宋体" w:cs="微软雅黑"/>
          <w:color w:val="000000"/>
          <w:shd w:val="clear" w:color="auto" w:fill="FFFFFF"/>
          <w:lang w:eastAsia="zh-CN"/>
        </w:rPr>
        <w:t>如</w:t>
      </w:r>
      <w:r>
        <w:rPr>
          <w:rStyle w:val="338"/>
          <w:rFonts w:hint="eastAsia"/>
          <w:color w:val="000000"/>
          <w:shd w:val="clear" w:color="auto" w:fill="FFFFFF"/>
          <w:lang w:eastAsia="zh-CN"/>
        </w:rPr>
        <w:t>GBON</w:t>
      </w:r>
      <w:r>
        <w:rPr>
          <w:rStyle w:val="338"/>
          <w:rFonts w:hint="eastAsia" w:ascii="宋体" w:hAnsi="宋体" w:eastAsia="宋体"/>
          <w:color w:val="000000"/>
          <w:shd w:val="clear" w:color="auto" w:fill="FFFFFF"/>
          <w:lang w:eastAsia="zh-CN"/>
        </w:rPr>
        <w:t>）</w:t>
      </w:r>
      <w:r>
        <w:rPr>
          <w:rStyle w:val="338"/>
          <w:rFonts w:hint="eastAsia" w:ascii="宋体" w:hAnsi="宋体" w:eastAsia="宋体" w:cs="微软雅黑"/>
          <w:color w:val="000000"/>
          <w:shd w:val="clear" w:color="auto" w:fill="FFFFFF"/>
          <w:lang w:eastAsia="zh-CN"/>
        </w:rPr>
        <w:t>中添加台站</w:t>
      </w:r>
      <w:r>
        <w:rPr>
          <w:rStyle w:val="338"/>
          <w:rFonts w:hint="eastAsia"/>
          <w:color w:val="000000"/>
          <w:shd w:val="clear" w:color="auto" w:fill="FFFFFF"/>
          <w:lang w:eastAsia="zh-CN"/>
        </w:rPr>
        <w:t>。有关如何使用网络客户端工具的详细信息，请参阅</w:t>
      </w:r>
      <w:r>
        <w:fldChar w:fldCharType="begin"/>
      </w:r>
      <w:r>
        <w:instrText xml:space="preserve"> HYPERLINK "https://library.wmo.int/index.php?lvl=notice_display&amp;id=21675" \l ".Y-hYFsdBybg" </w:instrText>
      </w:r>
      <w:r>
        <w:fldChar w:fldCharType="separate"/>
      </w:r>
      <w:r>
        <w:rPr>
          <w:rStyle w:val="43"/>
          <w:rFonts w:hint="eastAsia"/>
          <w:color w:val="000000"/>
          <w:shd w:val="clear" w:color="auto" w:fill="FFFFFF"/>
          <w:lang w:eastAsia="zh-CN"/>
        </w:rPr>
        <w:t>《OSCAR/地表用户手册》</w:t>
      </w:r>
      <w:r>
        <w:rPr>
          <w:rStyle w:val="43"/>
          <w:rFonts w:hint="eastAsia"/>
          <w:color w:val="000000"/>
          <w:shd w:val="clear" w:color="auto" w:fill="FFFFFF"/>
          <w:lang w:eastAsia="zh-CN"/>
        </w:rPr>
        <w:fldChar w:fldCharType="end"/>
      </w:r>
      <w:r>
        <w:rPr>
          <w:rStyle w:val="338"/>
          <w:rFonts w:hint="eastAsia"/>
          <w:color w:val="000000"/>
          <w:shd w:val="clear" w:color="auto" w:fill="FFFFFF"/>
          <w:lang w:eastAsia="zh-CN"/>
        </w:rPr>
        <w:t>第3.12节</w:t>
      </w:r>
      <w:r>
        <w:rPr>
          <w:rStyle w:val="338"/>
          <w:rFonts w:hint="eastAsia" w:ascii="宋体" w:hAnsi="宋体" w:eastAsia="宋体" w:cs="微软雅黑"/>
          <w:color w:val="000000"/>
          <w:shd w:val="clear" w:color="auto" w:fill="FFFFFF"/>
          <w:lang w:eastAsia="zh-CN"/>
        </w:rPr>
        <w:t>、</w:t>
      </w:r>
      <w:r>
        <w:rPr>
          <w:rStyle w:val="338"/>
          <w:rFonts w:hint="eastAsia"/>
          <w:color w:val="000000"/>
          <w:shd w:val="clear" w:color="auto" w:fill="FFFFFF"/>
          <w:lang w:eastAsia="zh-CN"/>
        </w:rPr>
        <w:t xml:space="preserve"> OSCAR/地表学习门户网站（</w:t>
      </w:r>
      <w:r>
        <w:rPr>
          <w:rStyle w:val="338"/>
          <w:rFonts w:hint="eastAsia"/>
          <w:i/>
          <w:iCs/>
          <w:color w:val="000000"/>
          <w:shd w:val="clear" w:color="auto" w:fill="FFFFFF"/>
          <w:lang w:eastAsia="zh-CN"/>
        </w:rPr>
        <w:t>https://etrp.wmo.int/mod/folder/view.php? id=15184</w:t>
      </w:r>
      <w:r>
        <w:rPr>
          <w:rStyle w:val="338"/>
          <w:rFonts w:hint="eastAsia"/>
          <w:color w:val="000000"/>
          <w:shd w:val="clear" w:color="auto" w:fill="FFFFFF"/>
          <w:lang w:eastAsia="zh-CN"/>
        </w:rPr>
        <w:t>）上相应</w:t>
      </w:r>
      <w:r>
        <w:rPr>
          <w:rStyle w:val="338"/>
          <w:rFonts w:hint="eastAsia" w:ascii="宋体" w:hAnsi="宋体" w:eastAsia="宋体" w:cs="微软雅黑"/>
          <w:color w:val="000000"/>
          <w:shd w:val="clear" w:color="auto" w:fill="FFFFFF"/>
          <w:lang w:eastAsia="zh-CN"/>
        </w:rPr>
        <w:t>的</w:t>
      </w:r>
      <w:r>
        <w:rPr>
          <w:rStyle w:val="338"/>
          <w:rFonts w:hint="eastAsia"/>
          <w:color w:val="000000"/>
          <w:shd w:val="clear" w:color="auto" w:fill="FFFFFF"/>
          <w:lang w:eastAsia="zh-CN"/>
        </w:rPr>
        <w:t>网络研讨会</w:t>
      </w:r>
      <w:r>
        <w:rPr>
          <w:rStyle w:val="338"/>
          <w:rFonts w:hint="eastAsia" w:ascii="宋体" w:hAnsi="宋体" w:eastAsia="宋体" w:cs="微软雅黑"/>
          <w:color w:val="000000"/>
          <w:shd w:val="clear" w:color="auto" w:fill="FFFFFF"/>
          <w:lang w:eastAsia="zh-CN"/>
        </w:rPr>
        <w:t>以及</w:t>
      </w:r>
      <w:r>
        <w:fldChar w:fldCharType="begin"/>
      </w:r>
      <w:r>
        <w:instrText xml:space="preserve"> HYPERLINK "https://vimeo.com/692187140?embedded=true&amp;source=video_title&amp;owner=7296552" </w:instrText>
      </w:r>
      <w:r>
        <w:fldChar w:fldCharType="separate"/>
      </w:r>
      <w:r>
        <w:rPr>
          <w:rStyle w:val="43"/>
          <w:rFonts w:hint="eastAsia"/>
          <w:color w:val="000000"/>
          <w:shd w:val="clear" w:color="auto" w:fill="FFFFFF"/>
          <w:lang w:eastAsia="zh-CN"/>
        </w:rPr>
        <w:t>视频教程</w:t>
      </w:r>
      <w:r>
        <w:rPr>
          <w:rStyle w:val="43"/>
          <w:rFonts w:hint="eastAsia"/>
          <w:color w:val="000000"/>
          <w:shd w:val="clear" w:color="auto" w:fill="FFFFFF"/>
          <w:lang w:eastAsia="zh-CN"/>
        </w:rPr>
        <w:fldChar w:fldCharType="end"/>
      </w:r>
      <w:r>
        <w:rPr>
          <w:rStyle w:val="338"/>
          <w:rFonts w:hint="eastAsia"/>
          <w:color w:val="000000"/>
          <w:shd w:val="clear" w:color="auto" w:fill="FFFFFF"/>
          <w:lang w:eastAsia="zh-CN"/>
        </w:rPr>
        <w:t>。</w:t>
      </w:r>
    </w:p>
    <w:p>
      <w:pPr>
        <w:spacing w:after="240" w:line="240" w:lineRule="exact"/>
        <w:rPr>
          <w:rStyle w:val="338"/>
          <w:rFonts w:ascii="微软雅黑" w:hAnsi="微软雅黑" w:eastAsia="微软雅黑" w:cs="微软雅黑"/>
          <w:b/>
          <w:bCs/>
          <w:lang w:eastAsia="zh-CN"/>
        </w:rPr>
      </w:pPr>
      <w:r>
        <w:rPr>
          <w:rStyle w:val="338"/>
          <w:rFonts w:eastAsia="Verdana" w:cs="Verdana"/>
          <w:b/>
          <w:bCs/>
          <w:lang w:eastAsia="zh-CN"/>
        </w:rPr>
        <w:t>7.3.4</w:t>
      </w:r>
      <w:r>
        <w:rPr>
          <w:rStyle w:val="338"/>
          <w:rFonts w:eastAsia="Verdana" w:cs="Verdana"/>
          <w:b/>
          <w:bCs/>
          <w:lang w:eastAsia="zh-CN"/>
        </w:rPr>
        <w:tab/>
      </w:r>
      <w:r>
        <w:rPr>
          <w:rStyle w:val="338"/>
          <w:rFonts w:hint="eastAsia" w:ascii="微软雅黑" w:hAnsi="微软雅黑" w:eastAsia="微软雅黑" w:cs="微软雅黑"/>
          <w:b/>
          <w:bCs/>
          <w:lang w:eastAsia="zh-CN"/>
        </w:rPr>
        <w:t>如何借助</w:t>
      </w:r>
      <w:r>
        <w:rPr>
          <w:rStyle w:val="338"/>
          <w:rFonts w:hint="eastAsia" w:eastAsia="Verdana" w:cs="Verdana"/>
          <w:b/>
          <w:bCs/>
          <w:lang w:eastAsia="zh-CN"/>
        </w:rPr>
        <w:t>XML</w:t>
      </w:r>
      <w:r>
        <w:rPr>
          <w:rStyle w:val="338"/>
          <w:rFonts w:hint="eastAsia" w:ascii="微软雅黑" w:hAnsi="微软雅黑" w:eastAsia="微软雅黑" w:cs="微软雅黑"/>
          <w:b/>
          <w:bCs/>
          <w:lang w:eastAsia="zh-CN"/>
        </w:rPr>
        <w:t>上传注册新的</w:t>
      </w:r>
      <w:r>
        <w:rPr>
          <w:rStyle w:val="338"/>
          <w:rFonts w:hint="eastAsia" w:eastAsia="Verdana" w:cs="Verdana"/>
          <w:b/>
          <w:bCs/>
          <w:lang w:eastAsia="zh-CN"/>
        </w:rPr>
        <w:t>GBON</w:t>
      </w:r>
      <w:r>
        <w:rPr>
          <w:rStyle w:val="338"/>
          <w:rFonts w:hint="eastAsia" w:ascii="微软雅黑" w:hAnsi="微软雅黑" w:eastAsia="微软雅黑" w:cs="微软雅黑"/>
          <w:b/>
          <w:bCs/>
          <w:lang w:eastAsia="zh-CN"/>
        </w:rPr>
        <w:t>台站</w:t>
      </w:r>
    </w:p>
    <w:p>
      <w:pPr>
        <w:spacing w:after="240" w:line="240" w:lineRule="exact"/>
        <w:rPr>
          <w:rStyle w:val="338"/>
          <w:rFonts w:eastAsia="Verdana" w:cs="Verdana"/>
          <w:lang w:val="en-US"/>
        </w:rPr>
      </w:pPr>
      <w:r>
        <w:rPr>
          <w:rStyle w:val="338"/>
          <w:rFonts w:hint="eastAsia" w:ascii="宋体" w:hAnsi="宋体" w:eastAsia="宋体" w:cs="宋体"/>
          <w:color w:val="000000"/>
          <w:shd w:val="clear" w:color="auto" w:fill="FFFFFF"/>
        </w:rPr>
        <w:t>除了使用</w:t>
      </w:r>
      <w:r>
        <w:fldChar w:fldCharType="begin"/>
      </w:r>
      <w:r>
        <w:instrText xml:space="preserve"> HYPERLINK "https://oscar.wmo.int/surface/" </w:instrText>
      </w:r>
      <w:r>
        <w:fldChar w:fldCharType="separate"/>
      </w:r>
      <w:r>
        <w:rPr>
          <w:rStyle w:val="43"/>
          <w:rFonts w:hint="eastAsia" w:eastAsia="宋体"/>
          <w:lang w:eastAsia="zh-CN"/>
        </w:rPr>
        <w:t>OSCAR/地表</w:t>
      </w:r>
      <w:r>
        <w:rPr>
          <w:rStyle w:val="43"/>
        </w:rPr>
        <w:fldChar w:fldCharType="end"/>
      </w:r>
      <w:r>
        <w:rPr>
          <w:rStyle w:val="338"/>
          <w:rFonts w:hint="eastAsia" w:ascii="宋体" w:hAnsi="宋体" w:eastAsia="宋体" w:cs="宋体"/>
          <w:color w:val="000000"/>
          <w:shd w:val="clear" w:color="auto" w:fill="FFFFFF"/>
        </w:rPr>
        <w:t>的图形用户界面（</w:t>
      </w:r>
      <w:r>
        <w:rPr>
          <w:rStyle w:val="338"/>
          <w:rFonts w:hint="eastAsia"/>
          <w:color w:val="000000"/>
          <w:shd w:val="clear" w:color="auto" w:fill="FFFFFF"/>
        </w:rPr>
        <w:t>GUI</w:t>
      </w:r>
      <w:r>
        <w:rPr>
          <w:rStyle w:val="338"/>
          <w:rFonts w:hint="eastAsia" w:ascii="宋体" w:hAnsi="宋体" w:eastAsia="宋体" w:cs="宋体"/>
          <w:color w:val="000000"/>
          <w:shd w:val="clear" w:color="auto" w:fill="FFFFFF"/>
        </w:rPr>
        <w:t>）来注册</w:t>
      </w:r>
      <w:r>
        <w:rPr>
          <w:rStyle w:val="338"/>
          <w:rFonts w:hint="eastAsia"/>
          <w:color w:val="000000"/>
          <w:shd w:val="clear" w:color="auto" w:fill="FFFFFF"/>
        </w:rPr>
        <w:t>GBON</w:t>
      </w:r>
      <w:r>
        <w:rPr>
          <w:rStyle w:val="338"/>
          <w:rFonts w:hint="eastAsia" w:ascii="宋体" w:hAnsi="宋体" w:eastAsia="宋体" w:cs="宋体"/>
          <w:color w:val="000000"/>
          <w:shd w:val="clear" w:color="auto" w:fill="FFFFFF"/>
        </w:rPr>
        <w:t>台站外，还可以使用台站的</w:t>
      </w:r>
      <w:r>
        <w:rPr>
          <w:rStyle w:val="338"/>
          <w:rFonts w:hint="eastAsia"/>
          <w:color w:val="000000"/>
          <w:shd w:val="clear" w:color="auto" w:fill="FFFFFF"/>
        </w:rPr>
        <w:t>WMDR XML</w:t>
      </w:r>
      <w:r>
        <w:rPr>
          <w:rStyle w:val="338"/>
          <w:rFonts w:hint="eastAsia" w:ascii="宋体" w:hAnsi="宋体" w:eastAsia="宋体" w:cs="宋体"/>
          <w:color w:val="000000"/>
          <w:shd w:val="clear" w:color="auto" w:fill="FFFFFF"/>
        </w:rPr>
        <w:t>表示（</w:t>
      </w:r>
      <w:r>
        <w:rPr>
          <w:rStyle w:val="338"/>
          <w:rFonts w:hint="eastAsia"/>
          <w:color w:val="000000"/>
          <w:shd w:val="clear" w:color="auto" w:fill="FFFFFF"/>
        </w:rPr>
        <w:t>WMDR XML</w:t>
      </w:r>
      <w:r>
        <w:rPr>
          <w:rStyle w:val="338"/>
          <w:rFonts w:hint="eastAsia" w:ascii="宋体" w:hAnsi="宋体" w:eastAsia="宋体" w:cs="宋体"/>
          <w:color w:val="000000"/>
          <w:shd w:val="clear" w:color="auto" w:fill="FFFFFF"/>
        </w:rPr>
        <w:t>文件）来注册台站。</w:t>
      </w:r>
      <w:r>
        <w:rPr>
          <w:rStyle w:val="338"/>
          <w:rFonts w:hint="eastAsia" w:eastAsia="宋体"/>
          <w:color w:val="000000"/>
          <w:shd w:val="clear" w:color="auto" w:fill="FFFFFF"/>
          <w:lang w:eastAsia="zh-CN"/>
        </w:rPr>
        <w:t>OSCAR/地表</w:t>
      </w:r>
      <w:r>
        <w:rPr>
          <w:rStyle w:val="338"/>
          <w:rFonts w:hint="eastAsia" w:ascii="宋体" w:hAnsi="宋体" w:eastAsia="宋体" w:cs="宋体"/>
          <w:color w:val="000000"/>
          <w:shd w:val="clear" w:color="auto" w:fill="FFFFFF"/>
        </w:rPr>
        <w:t>国家联络人可使用</w:t>
      </w:r>
      <w:r>
        <w:fldChar w:fldCharType="begin"/>
      </w:r>
      <w:r>
        <w:instrText xml:space="preserve"> HYPERLINK "https://oscar.wmo.int/surface/" </w:instrText>
      </w:r>
      <w:r>
        <w:fldChar w:fldCharType="separate"/>
      </w:r>
      <w:r>
        <w:rPr>
          <w:rStyle w:val="43"/>
          <w:rFonts w:hint="eastAsia" w:eastAsia="宋体"/>
          <w:lang w:eastAsia="zh-CN"/>
        </w:rPr>
        <w:t>OSCAR/地表</w:t>
      </w:r>
      <w:r>
        <w:rPr>
          <w:rStyle w:val="43"/>
        </w:rPr>
        <w:fldChar w:fldCharType="end"/>
      </w:r>
      <w:r>
        <w:rPr>
          <w:rStyle w:val="338"/>
          <w:rFonts w:hint="eastAsia" w:ascii="宋体" w:hAnsi="宋体" w:eastAsia="宋体" w:cs="宋体"/>
          <w:color w:val="000000"/>
          <w:shd w:val="clear" w:color="auto" w:fill="FFFFFF"/>
        </w:rPr>
        <w:t>管理选项卡的</w:t>
      </w:r>
      <w:r>
        <w:rPr>
          <w:rStyle w:val="338"/>
          <w:rFonts w:hint="eastAsia"/>
          <w:color w:val="000000"/>
          <w:shd w:val="clear" w:color="auto" w:fill="FFFFFF"/>
        </w:rPr>
        <w:t>XML</w:t>
      </w:r>
      <w:r>
        <w:rPr>
          <w:rStyle w:val="338"/>
          <w:rFonts w:hint="eastAsia" w:ascii="宋体" w:hAnsi="宋体" w:eastAsia="宋体" w:cs="宋体"/>
          <w:color w:val="000000"/>
          <w:shd w:val="clear" w:color="auto" w:fill="FFFFFF"/>
        </w:rPr>
        <w:t>提交，或通过</w:t>
      </w:r>
      <w:r>
        <w:rPr>
          <w:rStyle w:val="338"/>
          <w:rFonts w:hint="eastAsia"/>
          <w:color w:val="000000"/>
          <w:shd w:val="clear" w:color="auto" w:fill="FFFFFF"/>
        </w:rPr>
        <w:t>WMDR XML</w:t>
      </w:r>
      <w:r>
        <w:rPr>
          <w:rStyle w:val="338"/>
          <w:rFonts w:hint="eastAsia" w:ascii="宋体" w:hAnsi="宋体" w:eastAsia="宋体" w:cs="宋体"/>
          <w:color w:val="000000"/>
          <w:shd w:val="clear" w:color="auto" w:fill="FFFFFF"/>
        </w:rPr>
        <w:t>上传</w:t>
      </w:r>
      <w:r>
        <w:rPr>
          <w:rStyle w:val="338"/>
          <w:rFonts w:hint="eastAsia"/>
          <w:color w:val="000000"/>
          <w:shd w:val="clear" w:color="auto" w:fill="FFFFFF"/>
        </w:rPr>
        <w:t>REST API</w:t>
      </w:r>
      <w:r>
        <w:rPr>
          <w:rStyle w:val="338"/>
          <w:rFonts w:hint="eastAsia" w:ascii="宋体" w:hAnsi="宋体" w:eastAsia="宋体" w:cs="宋体"/>
          <w:color w:val="000000"/>
          <w:shd w:val="clear" w:color="auto" w:fill="FFFFFF"/>
        </w:rPr>
        <w:t>来上传台站的</w:t>
      </w:r>
      <w:r>
        <w:rPr>
          <w:rStyle w:val="338"/>
          <w:rFonts w:hint="eastAsia"/>
          <w:color w:val="000000"/>
          <w:shd w:val="clear" w:color="auto" w:fill="FFFFFF"/>
        </w:rPr>
        <w:t>WMDR XML</w:t>
      </w:r>
      <w:r>
        <w:rPr>
          <w:rStyle w:val="338"/>
          <w:rFonts w:hint="eastAsia" w:ascii="宋体" w:hAnsi="宋体" w:eastAsia="宋体" w:cs="宋体"/>
          <w:color w:val="000000"/>
          <w:shd w:val="clear" w:color="auto" w:fill="FFFFFF"/>
        </w:rPr>
        <w:t>文件。（见</w:t>
      </w:r>
      <w:r>
        <w:fldChar w:fldCharType="begin"/>
      </w:r>
      <w:r>
        <w:instrText xml:space="preserve"> HYPERLINK "https://library.wmo.int/index.php?lvl=notice_display&amp;id=21675" \l ".Y-hYFsdBybg" </w:instrText>
      </w:r>
      <w:r>
        <w:fldChar w:fldCharType="separate"/>
      </w:r>
      <w:r>
        <w:rPr>
          <w:rStyle w:val="43"/>
          <w:rFonts w:hint="eastAsia" w:ascii="宋体" w:hAnsi="宋体" w:eastAsia="宋体" w:cs="宋体"/>
          <w:color w:val="000000"/>
          <w:shd w:val="clear" w:color="auto" w:fill="FFFFFF"/>
        </w:rPr>
        <w:t>《</w:t>
      </w:r>
      <w:r>
        <w:rPr>
          <w:rStyle w:val="43"/>
          <w:rFonts w:hint="eastAsia" w:eastAsia="宋体" w:cs="Verdana"/>
          <w:color w:val="000000"/>
          <w:shd w:val="clear" w:color="auto" w:fill="FFFFFF"/>
          <w:lang w:eastAsia="zh-CN"/>
        </w:rPr>
        <w:t>OSCAR/地表</w:t>
      </w:r>
      <w:r>
        <w:rPr>
          <w:rStyle w:val="43"/>
          <w:rFonts w:hint="eastAsia" w:ascii="宋体" w:hAnsi="宋体" w:eastAsia="宋体" w:cs="宋体"/>
          <w:color w:val="000000"/>
          <w:shd w:val="clear" w:color="auto" w:fill="FFFFFF"/>
        </w:rPr>
        <w:t>用户手册》</w:t>
      </w:r>
      <w:r>
        <w:rPr>
          <w:rStyle w:val="43"/>
          <w:rFonts w:hint="eastAsia" w:ascii="宋体" w:hAnsi="宋体" w:eastAsia="宋体" w:cs="宋体"/>
          <w:color w:val="000000"/>
          <w:shd w:val="clear" w:color="auto" w:fill="FFFFFF"/>
        </w:rPr>
        <w:fldChar w:fldCharType="end"/>
      </w:r>
      <w:r>
        <w:rPr>
          <w:rStyle w:val="338"/>
          <w:rFonts w:hint="eastAsia" w:ascii="宋体" w:hAnsi="宋体" w:eastAsia="宋体" w:cs="宋体"/>
          <w:color w:val="000000"/>
          <w:shd w:val="clear" w:color="auto" w:fill="FFFFFF"/>
        </w:rPr>
        <w:t>第</w:t>
      </w:r>
      <w:r>
        <w:rPr>
          <w:rStyle w:val="338"/>
          <w:rFonts w:hint="eastAsia"/>
          <w:color w:val="000000"/>
          <w:shd w:val="clear" w:color="auto" w:fill="FFFFFF"/>
        </w:rPr>
        <w:t>3.1</w:t>
      </w:r>
      <w:r>
        <w:rPr>
          <w:rStyle w:val="338"/>
          <w:rFonts w:hint="eastAsia" w:eastAsia="宋体"/>
          <w:color w:val="000000"/>
          <w:shd w:val="clear" w:color="auto" w:fill="FFFFFF"/>
          <w:lang w:val="en-US"/>
        </w:rPr>
        <w:t>0</w:t>
      </w:r>
      <w:r>
        <w:rPr>
          <w:rStyle w:val="338"/>
          <w:rFonts w:hint="eastAsia" w:ascii="宋体" w:hAnsi="宋体" w:eastAsia="宋体" w:cs="宋体"/>
          <w:color w:val="000000"/>
          <w:shd w:val="clear" w:color="auto" w:fill="FFFFFF"/>
        </w:rPr>
        <w:t>节）。</w:t>
      </w:r>
    </w:p>
    <w:p>
      <w:pPr>
        <w:spacing w:before="480" w:after="200" w:line="276" w:lineRule="auto"/>
        <w:outlineLvl w:val="2"/>
        <w:rPr>
          <w:rStyle w:val="338"/>
          <w:rFonts w:ascii="微软雅黑" w:hAnsi="微软雅黑" w:eastAsia="微软雅黑" w:cs="微软雅黑"/>
          <w:b/>
          <w:bCs/>
          <w:lang w:eastAsia="zh-CN"/>
        </w:rPr>
      </w:pPr>
      <w:r>
        <w:rPr>
          <w:rStyle w:val="338"/>
          <w:rFonts w:eastAsia="Verdana" w:cs="Verdana"/>
          <w:b/>
          <w:bCs/>
          <w:lang w:eastAsia="zh-CN"/>
        </w:rPr>
        <w:t>7.4</w:t>
      </w:r>
      <w:r>
        <w:rPr>
          <w:rStyle w:val="338"/>
          <w:rFonts w:eastAsia="Verdana" w:cs="Verdana"/>
          <w:b/>
          <w:bCs/>
          <w:lang w:eastAsia="zh-CN"/>
        </w:rPr>
        <w:tab/>
      </w:r>
      <w:r>
        <w:rPr>
          <w:rStyle w:val="338"/>
          <w:rFonts w:hint="eastAsia" w:ascii="微软雅黑" w:hAnsi="微软雅黑" w:eastAsia="微软雅黑" w:cs="微软雅黑"/>
          <w:b/>
          <w:bCs/>
          <w:lang w:eastAsia="zh-CN"/>
        </w:rPr>
        <w:t>编辑</w:t>
      </w:r>
      <w:r>
        <w:rPr>
          <w:rStyle w:val="338"/>
          <w:rFonts w:hint="eastAsia" w:eastAsia="Verdana" w:cs="Verdana"/>
          <w:b/>
          <w:bCs/>
          <w:lang w:eastAsia="zh-CN"/>
        </w:rPr>
        <w:t>GBON</w:t>
      </w:r>
      <w:r>
        <w:rPr>
          <w:rStyle w:val="338"/>
          <w:rFonts w:hint="eastAsia" w:ascii="微软雅黑" w:hAnsi="微软雅黑" w:eastAsia="微软雅黑" w:cs="微软雅黑"/>
          <w:b/>
          <w:bCs/>
          <w:lang w:eastAsia="zh-CN"/>
        </w:rPr>
        <w:t>注册台站的元数据</w:t>
      </w:r>
    </w:p>
    <w:p>
      <w:pPr>
        <w:spacing w:after="240" w:line="240" w:lineRule="exact"/>
        <w:rPr>
          <w:rStyle w:val="338"/>
          <w:rFonts w:ascii="宋体" w:hAnsi="宋体" w:eastAsia="宋体" w:cs="宋体"/>
          <w:lang w:eastAsia="zh-CN"/>
        </w:rPr>
      </w:pPr>
      <w:r>
        <w:rPr>
          <w:rStyle w:val="338"/>
          <w:rFonts w:hint="eastAsia" w:ascii="宋体" w:hAnsi="宋体" w:eastAsia="宋体" w:cs="宋体"/>
        </w:rPr>
        <w:t>要在</w:t>
      </w:r>
      <w:r>
        <w:fldChar w:fldCharType="begin"/>
      </w:r>
      <w:r>
        <w:instrText xml:space="preserve"> HYPERLINK "https://oscar.wmo.int/surface/" </w:instrText>
      </w:r>
      <w:r>
        <w:fldChar w:fldCharType="separate"/>
      </w:r>
      <w:r>
        <w:rPr>
          <w:rStyle w:val="43"/>
          <w:rFonts w:hint="eastAsia" w:eastAsia="宋体" w:cs="Verdana"/>
          <w:lang w:eastAsia="zh-CN"/>
        </w:rPr>
        <w:t>OSCAR/地表</w:t>
      </w:r>
      <w:r>
        <w:rPr>
          <w:rStyle w:val="43"/>
          <w:rFonts w:eastAsia="宋体" w:cs="Verdana"/>
        </w:rPr>
        <w:fldChar w:fldCharType="end"/>
      </w:r>
      <w:r>
        <w:rPr>
          <w:rStyle w:val="338"/>
          <w:rFonts w:hint="eastAsia" w:ascii="宋体" w:hAnsi="宋体" w:eastAsia="宋体" w:cs="宋体"/>
        </w:rPr>
        <w:t>中编辑已注册的</w:t>
      </w:r>
      <w:r>
        <w:rPr>
          <w:rStyle w:val="338"/>
          <w:rFonts w:hint="eastAsia"/>
          <w:color w:val="000000"/>
          <w:shd w:val="clear" w:color="auto" w:fill="FFFFFF"/>
        </w:rPr>
        <w:t>GBON</w:t>
      </w:r>
      <w:r>
        <w:rPr>
          <w:rStyle w:val="338"/>
          <w:rFonts w:hint="eastAsia" w:ascii="宋体" w:hAnsi="宋体" w:eastAsia="宋体" w:cs="宋体"/>
        </w:rPr>
        <w:t>台站，可使用与注册新台站相同的工具。</w:t>
      </w:r>
      <w:r>
        <w:rPr>
          <w:rStyle w:val="338"/>
          <w:rFonts w:hint="eastAsia" w:ascii="宋体" w:hAnsi="宋体" w:eastAsia="宋体" w:cs="宋体"/>
          <w:lang w:eastAsia="zh-CN"/>
        </w:rPr>
        <w:t>登录</w:t>
      </w:r>
      <w:r>
        <w:fldChar w:fldCharType="begin"/>
      </w:r>
      <w:r>
        <w:instrText xml:space="preserve"> HYPERLINK "https://oscar.wmo.int/surface/" </w:instrText>
      </w:r>
      <w:r>
        <w:fldChar w:fldCharType="separate"/>
      </w:r>
      <w:r>
        <w:rPr>
          <w:rStyle w:val="43"/>
          <w:rFonts w:hint="eastAsia" w:eastAsia="宋体" w:cs="Verdana"/>
          <w:lang w:eastAsia="zh-CN"/>
        </w:rPr>
        <w:t>OSCAR/地表</w:t>
      </w:r>
      <w:r>
        <w:rPr>
          <w:rStyle w:val="43"/>
          <w:rFonts w:eastAsia="宋体" w:cs="Verdana"/>
          <w:lang w:eastAsia="zh-CN"/>
        </w:rPr>
        <w:fldChar w:fldCharType="end"/>
      </w:r>
      <w:r>
        <w:rPr>
          <w:rStyle w:val="338"/>
          <w:rFonts w:hint="eastAsia" w:ascii="宋体" w:hAnsi="宋体" w:eastAsia="宋体" w:cs="宋体"/>
          <w:lang w:eastAsia="zh-CN"/>
        </w:rPr>
        <w:t>的</w:t>
      </w:r>
      <w:r>
        <w:rPr>
          <w:rStyle w:val="338"/>
          <w:rFonts w:eastAsia="宋体" w:cs="Verdana"/>
          <w:lang w:eastAsia="zh-CN"/>
        </w:rPr>
        <w:t>GUI</w:t>
      </w:r>
      <w:r>
        <w:rPr>
          <w:rStyle w:val="338"/>
          <w:rFonts w:hint="eastAsia" w:ascii="宋体" w:hAnsi="宋体" w:eastAsia="宋体" w:cs="宋体"/>
          <w:lang w:eastAsia="zh-CN"/>
        </w:rPr>
        <w:t>后，每份台站报告的右上角都会出现一个“编辑”选项。点击“编辑”后，将显示包含所有台站信息的通用页面，可对该页面再次进行编辑和保存。如有必要，可通过设置结束日期来关闭台站、计划/网络、实测计划或部署。对台站信息作出的更改都会被记录下来。有关编辑的详细信息，请参阅</w:t>
      </w:r>
      <w:r>
        <w:fldChar w:fldCharType="begin"/>
      </w:r>
      <w:r>
        <w:instrText xml:space="preserve"> HYPERLINK "https://library.wmo.int/index.php?lvl=notice_display&amp;id=21675" \l ".Y-hYFsdBybg" </w:instrText>
      </w:r>
      <w:r>
        <w:fldChar w:fldCharType="separate"/>
      </w:r>
      <w:r>
        <w:rPr>
          <w:rStyle w:val="43"/>
          <w:rFonts w:hint="eastAsia" w:ascii="宋体" w:hAnsi="宋体" w:eastAsia="宋体" w:cs="宋体"/>
          <w:lang w:eastAsia="zh-CN"/>
        </w:rPr>
        <w:t>《</w:t>
      </w:r>
      <w:r>
        <w:rPr>
          <w:rStyle w:val="43"/>
          <w:rFonts w:hint="eastAsia" w:eastAsia="宋体" w:cs="Verdana"/>
          <w:lang w:eastAsia="zh-CN"/>
        </w:rPr>
        <w:t>OSCAR/地表</w:t>
      </w:r>
      <w:r>
        <w:rPr>
          <w:rStyle w:val="43"/>
          <w:rFonts w:hint="eastAsia" w:ascii="宋体" w:hAnsi="宋体" w:eastAsia="宋体" w:cs="宋体"/>
          <w:lang w:eastAsia="zh-CN"/>
        </w:rPr>
        <w:t>用户手册》</w:t>
      </w:r>
      <w:r>
        <w:rPr>
          <w:rStyle w:val="43"/>
          <w:rFonts w:hint="eastAsia" w:ascii="宋体" w:hAnsi="宋体" w:eastAsia="宋体" w:cs="宋体"/>
          <w:lang w:eastAsia="zh-CN"/>
        </w:rPr>
        <w:fldChar w:fldCharType="end"/>
      </w:r>
      <w:r>
        <w:rPr>
          <w:rStyle w:val="338"/>
          <w:rFonts w:hint="eastAsia" w:ascii="宋体" w:hAnsi="宋体" w:eastAsia="宋体" w:cs="宋体"/>
          <w:color w:val="000000"/>
          <w:shd w:val="clear" w:color="auto" w:fill="FFFFFF"/>
          <w:lang w:eastAsia="zh-CN"/>
        </w:rPr>
        <w:t>的第</w:t>
      </w:r>
      <w:r>
        <w:rPr>
          <w:rStyle w:val="338"/>
          <w:rFonts w:eastAsia="宋体" w:cs="Verdana"/>
          <w:color w:val="000000"/>
          <w:shd w:val="clear" w:color="auto" w:fill="FFFFFF"/>
          <w:lang w:eastAsia="zh-CN"/>
        </w:rPr>
        <w:t>3.7</w:t>
      </w:r>
      <w:r>
        <w:rPr>
          <w:rStyle w:val="338"/>
          <w:rFonts w:hint="eastAsia" w:ascii="宋体" w:hAnsi="宋体" w:eastAsia="宋体" w:cs="宋体"/>
          <w:color w:val="000000"/>
          <w:shd w:val="clear" w:color="auto" w:fill="FFFFFF"/>
          <w:lang w:eastAsia="zh-CN"/>
        </w:rPr>
        <w:t>节。有关使用网络客户端工具或</w:t>
      </w:r>
      <w:r>
        <w:rPr>
          <w:rStyle w:val="338"/>
          <w:rFonts w:eastAsia="宋体" w:cs="Verdana"/>
          <w:color w:val="000000"/>
          <w:shd w:val="clear" w:color="auto" w:fill="FFFFFF"/>
          <w:lang w:eastAsia="zh-CN"/>
        </w:rPr>
        <w:t>XML</w:t>
      </w:r>
      <w:r>
        <w:rPr>
          <w:rStyle w:val="338"/>
          <w:rFonts w:hint="eastAsia" w:ascii="宋体" w:hAnsi="宋体" w:eastAsia="宋体" w:cs="宋体"/>
          <w:color w:val="000000"/>
          <w:shd w:val="clear" w:color="auto" w:fill="FFFFFF"/>
          <w:lang w:eastAsia="zh-CN"/>
        </w:rPr>
        <w:t>上传编辑台站信息的操作，请参</w:t>
      </w:r>
      <w:r>
        <w:rPr>
          <w:rStyle w:val="338"/>
          <w:rFonts w:hint="eastAsia" w:ascii="宋体" w:hAnsi="宋体" w:eastAsia="宋体" w:cs="宋体"/>
          <w:lang w:eastAsia="zh-CN"/>
        </w:rPr>
        <w:t>阅</w:t>
      </w:r>
      <w:r>
        <w:rPr>
          <w:rStyle w:val="338"/>
          <w:rFonts w:eastAsia="宋体" w:cs="Verdana"/>
          <w:color w:val="000000"/>
          <w:shd w:val="clear" w:color="auto" w:fill="FFFFFF"/>
          <w:lang w:eastAsia="zh-CN"/>
        </w:rPr>
        <w:t>7.3.3</w:t>
      </w:r>
      <w:r>
        <w:rPr>
          <w:rStyle w:val="338"/>
          <w:rFonts w:hint="eastAsia" w:ascii="宋体" w:hAnsi="宋体" w:eastAsia="宋体" w:cs="宋体"/>
          <w:color w:val="000000"/>
          <w:shd w:val="clear" w:color="auto" w:fill="FFFFFF"/>
          <w:lang w:eastAsia="zh-CN"/>
        </w:rPr>
        <w:t>和</w:t>
      </w:r>
      <w:r>
        <w:rPr>
          <w:rStyle w:val="338"/>
          <w:rFonts w:eastAsia="宋体" w:cs="Verdana"/>
          <w:color w:val="000000"/>
          <w:shd w:val="clear" w:color="auto" w:fill="FFFFFF"/>
          <w:lang w:eastAsia="zh-CN"/>
        </w:rPr>
        <w:t>7.3.4</w:t>
      </w:r>
      <w:r>
        <w:rPr>
          <w:rStyle w:val="338"/>
          <w:rFonts w:hint="eastAsia" w:ascii="宋体" w:hAnsi="宋体" w:eastAsia="宋体" w:cs="宋体"/>
          <w:color w:val="000000"/>
          <w:shd w:val="clear" w:color="auto" w:fill="FFFFFF"/>
          <w:lang w:eastAsia="zh-CN"/>
        </w:rPr>
        <w:t>中提到的相同学习和指导材料。</w:t>
      </w:r>
    </w:p>
    <w:p>
      <w:pPr>
        <w:spacing w:before="480" w:after="200" w:line="276" w:lineRule="auto"/>
        <w:outlineLvl w:val="2"/>
        <w:rPr>
          <w:rStyle w:val="338"/>
          <w:rFonts w:ascii="微软雅黑" w:hAnsi="微软雅黑" w:eastAsia="微软雅黑" w:cs="微软雅黑"/>
          <w:b/>
          <w:bCs/>
          <w:lang w:eastAsia="zh-CN"/>
        </w:rPr>
      </w:pPr>
      <w:r>
        <w:rPr>
          <w:rStyle w:val="338"/>
          <w:rFonts w:eastAsia="Verdana" w:cs="Verdana"/>
          <w:b/>
          <w:bCs/>
          <w:lang w:eastAsia="zh-CN"/>
        </w:rPr>
        <w:t>7.5</w:t>
      </w:r>
      <w:r>
        <w:rPr>
          <w:rStyle w:val="338"/>
          <w:rFonts w:eastAsia="Verdana" w:cs="Verdana"/>
          <w:b/>
          <w:bCs/>
          <w:lang w:eastAsia="zh-CN"/>
        </w:rPr>
        <w:tab/>
      </w:r>
      <w:r>
        <w:rPr>
          <w:rStyle w:val="338"/>
          <w:rFonts w:hint="eastAsia" w:ascii="微软雅黑" w:hAnsi="微软雅黑" w:eastAsia="微软雅黑" w:cs="微软雅黑"/>
          <w:b/>
          <w:bCs/>
          <w:lang w:eastAsia="zh-CN"/>
        </w:rPr>
        <w:t>台站与</w:t>
      </w:r>
      <w:r>
        <w:rPr>
          <w:rStyle w:val="338"/>
          <w:rFonts w:hint="eastAsia" w:eastAsia="Verdana" w:cs="Verdana"/>
          <w:b/>
          <w:bCs/>
          <w:lang w:eastAsia="zh-CN"/>
        </w:rPr>
        <w:t>GBON</w:t>
      </w:r>
      <w:r>
        <w:rPr>
          <w:rStyle w:val="338"/>
          <w:rFonts w:hint="eastAsia" w:ascii="微软雅黑" w:hAnsi="微软雅黑" w:eastAsia="微软雅黑" w:cs="微软雅黑"/>
          <w:b/>
          <w:bCs/>
          <w:lang w:eastAsia="zh-CN"/>
        </w:rPr>
        <w:t>计划/网络的从属关系</w:t>
      </w:r>
    </w:p>
    <w:p>
      <w:pPr>
        <w:tabs>
          <w:tab w:val="left" w:pos="1134"/>
        </w:tabs>
        <w:spacing w:after="240" w:line="240" w:lineRule="exact"/>
        <w:rPr>
          <w:rStyle w:val="338"/>
          <w:rFonts w:ascii="微软雅黑" w:hAnsi="微软雅黑" w:eastAsia="微软雅黑" w:cs="微软雅黑"/>
          <w:b/>
          <w:bCs/>
          <w:lang w:eastAsia="zh-CN"/>
        </w:rPr>
      </w:pPr>
      <w:r>
        <w:rPr>
          <w:rStyle w:val="338"/>
          <w:rFonts w:eastAsia="Verdana" w:cs="Verdana"/>
          <w:b/>
          <w:bCs/>
          <w:lang w:eastAsia="zh-CN"/>
        </w:rPr>
        <w:t>7.5.1</w:t>
      </w:r>
      <w:r>
        <w:rPr>
          <w:rStyle w:val="338"/>
          <w:rFonts w:eastAsia="Verdana" w:cs="Verdana"/>
          <w:b/>
          <w:bCs/>
          <w:lang w:eastAsia="zh-CN"/>
        </w:rPr>
        <w:tab/>
      </w:r>
      <w:r>
        <w:rPr>
          <w:rStyle w:val="338"/>
          <w:rFonts w:hint="eastAsia" w:ascii="微软雅黑" w:hAnsi="微软雅黑" w:eastAsia="微软雅黑" w:cs="微软雅黑"/>
          <w:b/>
          <w:bCs/>
          <w:lang w:eastAsia="zh-CN"/>
        </w:rPr>
        <w:t>如何在待批准状态下将台站纳入</w:t>
      </w:r>
      <w:r>
        <w:rPr>
          <w:rStyle w:val="338"/>
          <w:rFonts w:hint="eastAsia" w:eastAsia="Verdana" w:cs="Verdana"/>
          <w:b/>
          <w:bCs/>
          <w:lang w:eastAsia="zh-CN"/>
        </w:rPr>
        <w:t>GBON</w:t>
      </w:r>
    </w:p>
    <w:p>
      <w:pPr>
        <w:spacing w:after="240" w:line="240" w:lineRule="exact"/>
        <w:rPr>
          <w:rStyle w:val="338"/>
          <w:rFonts w:ascii="宋体" w:hAnsi="宋体" w:eastAsia="宋体" w:cs="宋体"/>
          <w:lang w:eastAsia="zh-CN"/>
        </w:rPr>
      </w:pPr>
      <w:r>
        <w:rPr>
          <w:rStyle w:val="338"/>
          <w:rFonts w:hint="eastAsia" w:ascii="宋体" w:hAnsi="宋体" w:eastAsia="宋体" w:cs="宋体"/>
        </w:rPr>
        <w:t>要将已在</w:t>
      </w:r>
      <w:r>
        <w:fldChar w:fldCharType="begin"/>
      </w:r>
      <w:r>
        <w:instrText xml:space="preserve"> HYPERLINK "https://oscar.wmo.int/surface/" </w:instrText>
      </w:r>
      <w:r>
        <w:fldChar w:fldCharType="separate"/>
      </w:r>
      <w:r>
        <w:rPr>
          <w:rStyle w:val="43"/>
          <w:rFonts w:hint="eastAsia" w:eastAsia="宋体" w:cs="Verdana"/>
          <w:lang w:eastAsia="zh-CN"/>
        </w:rPr>
        <w:t>OSCAR/地表</w:t>
      </w:r>
      <w:r>
        <w:rPr>
          <w:rStyle w:val="43"/>
          <w:rFonts w:eastAsia="宋体" w:cs="Verdana"/>
        </w:rPr>
        <w:fldChar w:fldCharType="end"/>
      </w:r>
      <w:r>
        <w:rPr>
          <w:rStyle w:val="338"/>
          <w:rFonts w:hint="eastAsia" w:ascii="宋体" w:hAnsi="宋体" w:eastAsia="宋体" w:cs="宋体"/>
        </w:rPr>
        <w:t>中注册的台站</w:t>
      </w:r>
      <w:r>
        <w:rPr>
          <w:rStyle w:val="338"/>
          <w:rFonts w:hint="eastAsia" w:ascii="宋体" w:hAnsi="宋体" w:eastAsia="宋体" w:cs="宋体"/>
          <w:lang w:eastAsia="zh-CN"/>
        </w:rPr>
        <w:t>纳入</w:t>
      </w:r>
      <w:r>
        <w:rPr>
          <w:rStyle w:val="338"/>
          <w:rFonts w:eastAsia="宋体" w:cs="Verdana"/>
        </w:rPr>
        <w:t>GBON</w:t>
      </w:r>
      <w:r>
        <w:rPr>
          <w:rStyle w:val="338"/>
          <w:rFonts w:hint="eastAsia" w:ascii="宋体" w:hAnsi="宋体" w:eastAsia="宋体" w:cs="宋体"/>
        </w:rPr>
        <w:t>，应使用台站报告中的“计划/网络部分”。</w:t>
      </w:r>
      <w:r>
        <w:rPr>
          <w:rStyle w:val="338"/>
          <w:rFonts w:hint="eastAsia" w:ascii="宋体" w:hAnsi="宋体" w:eastAsia="宋体" w:cs="宋体"/>
          <w:lang w:eastAsia="zh-CN"/>
        </w:rPr>
        <w:t>在编辑模式下或注册新台站时，可分配新计划/网络或编辑现有计划/网络。另见上文</w:t>
      </w:r>
      <w:r>
        <w:rPr>
          <w:rStyle w:val="338"/>
          <w:rFonts w:eastAsia="宋体" w:cs="Verdana"/>
          <w:lang w:eastAsia="zh-CN"/>
        </w:rPr>
        <w:t>7.3.1</w:t>
      </w:r>
      <w:r>
        <w:rPr>
          <w:rStyle w:val="338"/>
          <w:rFonts w:hint="eastAsia" w:ascii="宋体" w:hAnsi="宋体" w:eastAsia="宋体" w:cs="宋体"/>
          <w:lang w:eastAsia="zh-CN"/>
        </w:rPr>
        <w:t>中的详细信息。建立台站与</w:t>
      </w:r>
      <w:r>
        <w:rPr>
          <w:rStyle w:val="338"/>
          <w:rFonts w:eastAsia="宋体" w:cs="Verdana"/>
          <w:lang w:eastAsia="zh-CN"/>
        </w:rPr>
        <w:t>GBON</w:t>
      </w:r>
      <w:r>
        <w:rPr>
          <w:rStyle w:val="338"/>
          <w:rFonts w:hint="eastAsia" w:eastAsia="宋体" w:cs="Verdana"/>
          <w:lang w:eastAsia="zh-CN"/>
        </w:rPr>
        <w:t>的从属关系</w:t>
      </w:r>
      <w:r>
        <w:rPr>
          <w:rStyle w:val="338"/>
          <w:rFonts w:hint="eastAsia" w:ascii="宋体" w:hAnsi="宋体" w:eastAsia="宋体" w:cs="宋体"/>
          <w:lang w:eastAsia="zh-CN"/>
        </w:rPr>
        <w:t>后，该台站会呈现为待批准状态，直到从属关系获得批准（见第</w:t>
      </w:r>
      <w:r>
        <w:rPr>
          <w:rStyle w:val="338"/>
          <w:rFonts w:eastAsia="宋体" w:cs="Verdana"/>
          <w:lang w:eastAsia="zh-CN"/>
        </w:rPr>
        <w:t>3</w:t>
      </w:r>
      <w:r>
        <w:rPr>
          <w:rStyle w:val="338"/>
          <w:rFonts w:hint="eastAsia" w:ascii="宋体" w:hAnsi="宋体" w:eastAsia="宋体" w:cs="宋体"/>
          <w:lang w:eastAsia="zh-CN"/>
        </w:rPr>
        <w:t>节）。</w:t>
      </w:r>
    </w:p>
    <w:p>
      <w:pPr>
        <w:spacing w:after="240" w:line="240" w:lineRule="exact"/>
        <w:rPr>
          <w:rStyle w:val="338"/>
          <w:rFonts w:ascii="宋体" w:hAnsi="宋体" w:eastAsia="宋体" w:cs="宋体"/>
          <w:lang w:eastAsia="zh-CN"/>
        </w:rPr>
      </w:pPr>
      <w:r>
        <w:rPr>
          <w:rStyle w:val="338"/>
          <w:rFonts w:hint="eastAsia" w:ascii="宋体" w:hAnsi="宋体" w:eastAsia="宋体" w:cs="宋体"/>
          <w:lang w:eastAsia="zh-CN"/>
        </w:rPr>
        <w:t>除此方法外，也可以利用网络客户端工具以及</w:t>
      </w:r>
      <w:r>
        <w:rPr>
          <w:rStyle w:val="338"/>
          <w:rFonts w:eastAsia="宋体" w:cs="Verdana"/>
          <w:lang w:eastAsia="zh-CN"/>
        </w:rPr>
        <w:t>XML</w:t>
      </w:r>
      <w:r>
        <w:rPr>
          <w:rStyle w:val="338"/>
          <w:rFonts w:hint="eastAsia" w:ascii="宋体" w:hAnsi="宋体" w:eastAsia="宋体" w:cs="宋体"/>
          <w:lang w:eastAsia="zh-CN"/>
        </w:rPr>
        <w:t>上传来建立台站与</w:t>
      </w:r>
      <w:r>
        <w:rPr>
          <w:rStyle w:val="338"/>
          <w:rFonts w:eastAsia="宋体" w:cs="Verdana"/>
          <w:lang w:eastAsia="zh-CN"/>
        </w:rPr>
        <w:t>GBON</w:t>
      </w:r>
      <w:r>
        <w:rPr>
          <w:rStyle w:val="338"/>
          <w:rFonts w:hint="eastAsia" w:eastAsia="宋体" w:cs="Verdana"/>
          <w:lang w:eastAsia="zh-CN"/>
        </w:rPr>
        <w:t>的</w:t>
      </w:r>
      <w:r>
        <w:rPr>
          <w:rStyle w:val="338"/>
          <w:rFonts w:hint="eastAsia" w:ascii="宋体" w:hAnsi="宋体" w:eastAsia="宋体" w:cs="宋体"/>
          <w:lang w:eastAsia="zh-CN"/>
        </w:rPr>
        <w:t>从属关系。</w:t>
      </w:r>
    </w:p>
    <w:p>
      <w:pPr>
        <w:keepNext/>
        <w:keepLines/>
        <w:spacing w:after="240" w:line="240" w:lineRule="exact"/>
        <w:rPr>
          <w:rStyle w:val="338"/>
          <w:rFonts w:ascii="微软雅黑" w:hAnsi="微软雅黑" w:eastAsia="微软雅黑" w:cs="微软雅黑"/>
          <w:b/>
          <w:bCs/>
          <w:lang w:val="en-US" w:eastAsia="zh-CN"/>
        </w:rPr>
      </w:pPr>
      <w:r>
        <w:rPr>
          <w:rStyle w:val="338"/>
          <w:rFonts w:eastAsia="Verdana" w:cs="Verdana"/>
          <w:b/>
          <w:bCs/>
          <w:lang w:eastAsia="zh-CN"/>
        </w:rPr>
        <w:t>7.5.2</w:t>
      </w:r>
      <w:r>
        <w:rPr>
          <w:rStyle w:val="338"/>
          <w:rFonts w:eastAsia="Verdana" w:cs="Verdana"/>
          <w:b/>
          <w:bCs/>
          <w:lang w:eastAsia="zh-CN"/>
        </w:rPr>
        <w:tab/>
      </w:r>
      <w:r>
        <w:rPr>
          <w:rStyle w:val="338"/>
          <w:rFonts w:hint="eastAsia" w:ascii="微软雅黑" w:hAnsi="微软雅黑" w:eastAsia="微软雅黑" w:cs="微软雅黑"/>
          <w:b/>
          <w:bCs/>
          <w:lang w:eastAsia="zh-CN"/>
        </w:rPr>
        <w:t>如何从</w:t>
      </w:r>
      <w:r>
        <w:rPr>
          <w:rStyle w:val="338"/>
          <w:rFonts w:hint="eastAsia" w:eastAsia="Verdana" w:cs="Verdana"/>
          <w:b/>
          <w:bCs/>
          <w:lang w:eastAsia="zh-CN"/>
        </w:rPr>
        <w:t>GBON</w:t>
      </w:r>
      <w:r>
        <w:rPr>
          <w:rStyle w:val="338"/>
          <w:rFonts w:hint="eastAsia" w:ascii="微软雅黑" w:hAnsi="微软雅黑" w:eastAsia="微软雅黑" w:cs="微软雅黑"/>
          <w:b/>
          <w:bCs/>
          <w:lang w:eastAsia="zh-CN"/>
        </w:rPr>
        <w:t>台站列表中</w:t>
      </w:r>
      <w:r>
        <w:rPr>
          <w:rStyle w:val="338"/>
          <w:rFonts w:hint="eastAsia" w:ascii="微软雅黑" w:hAnsi="微软雅黑" w:eastAsia="微软雅黑" w:cs="微软雅黑"/>
          <w:b/>
          <w:bCs/>
          <w:lang w:val="en-US" w:eastAsia="zh-CN"/>
        </w:rPr>
        <w:t>删除台站</w:t>
      </w:r>
    </w:p>
    <w:p>
      <w:pPr>
        <w:pStyle w:val="2"/>
        <w:keepNext/>
        <w:keepLines/>
        <w:rPr>
          <w:rFonts w:ascii="微软雅黑" w:hAnsi="微软雅黑" w:eastAsia="微软雅黑" w:cs="微软雅黑"/>
          <w:b/>
          <w:bCs/>
          <w:i/>
          <w:iCs/>
          <w:lang w:eastAsia="zh-CN"/>
        </w:rPr>
      </w:pPr>
      <w:r>
        <w:rPr>
          <w:b/>
          <w:bCs/>
          <w:i/>
          <w:iCs/>
          <w:lang w:eastAsia="zh-CN"/>
        </w:rPr>
        <w:t>7.5.2.1</w:t>
      </w:r>
      <w:r>
        <w:rPr>
          <w:b/>
          <w:bCs/>
          <w:i/>
          <w:iCs/>
          <w:lang w:eastAsia="zh-CN"/>
        </w:rPr>
        <w:tab/>
      </w:r>
      <w:r>
        <w:rPr>
          <w:rFonts w:hint="eastAsia" w:ascii="微软雅黑" w:hAnsi="微软雅黑" w:eastAsia="微软雅黑" w:cs="微软雅黑"/>
          <w:b/>
          <w:bCs/>
          <w:i/>
          <w:iCs/>
          <w:lang w:eastAsia="zh-CN"/>
        </w:rPr>
        <w:t>删除待批准的</w:t>
      </w:r>
      <w:r>
        <w:rPr>
          <w:rStyle w:val="338"/>
          <w:rFonts w:hint="eastAsia" w:eastAsia="Verdana" w:cs="Verdana"/>
          <w:b/>
          <w:bCs/>
          <w:i/>
          <w:iCs/>
          <w:lang w:eastAsia="zh-CN"/>
        </w:rPr>
        <w:t>GBON</w:t>
      </w:r>
      <w:r>
        <w:rPr>
          <w:rStyle w:val="338"/>
          <w:rFonts w:hint="eastAsia" w:ascii="微软雅黑" w:hAnsi="微软雅黑" w:eastAsia="微软雅黑" w:cs="微软雅黑"/>
          <w:b/>
          <w:bCs/>
          <w:i/>
          <w:iCs/>
          <w:lang w:val="en-US" w:eastAsia="zh-CN"/>
        </w:rPr>
        <w:t>台站</w:t>
      </w:r>
    </w:p>
    <w:p>
      <w:pPr>
        <w:keepNext/>
        <w:keepLines/>
        <w:spacing w:after="240" w:line="240" w:lineRule="exact"/>
        <w:rPr>
          <w:rStyle w:val="338"/>
          <w:rFonts w:eastAsia="Verdana" w:cs="Verdana"/>
          <w:lang w:eastAsia="zh-CN"/>
        </w:rPr>
      </w:pPr>
      <w:r>
        <w:rPr>
          <w:rStyle w:val="338"/>
          <w:rFonts w:hint="eastAsia" w:ascii="宋体" w:hAnsi="宋体" w:eastAsia="宋体" w:cs="宋体"/>
          <w:lang w:val="en-US" w:eastAsia="zh-CN"/>
        </w:rPr>
        <w:t>要</w:t>
      </w:r>
      <w:r>
        <w:rPr>
          <w:rStyle w:val="338"/>
          <w:rFonts w:hint="eastAsia" w:ascii="宋体" w:hAnsi="宋体" w:eastAsia="宋体" w:cs="宋体"/>
          <w:lang w:eastAsia="zh-CN"/>
        </w:rPr>
        <w:t>删除处于待批准状态的</w:t>
      </w:r>
      <w:r>
        <w:rPr>
          <w:rStyle w:val="338"/>
          <w:rFonts w:eastAsia="宋体" w:cs="Verdana"/>
          <w:lang w:eastAsia="zh-CN"/>
        </w:rPr>
        <w:t>GBON</w:t>
      </w:r>
      <w:r>
        <w:rPr>
          <w:rStyle w:val="338"/>
          <w:rFonts w:hint="eastAsia" w:ascii="宋体" w:hAnsi="宋体" w:eastAsia="宋体" w:cs="宋体"/>
          <w:lang w:eastAsia="zh-CN"/>
        </w:rPr>
        <w:t>台站，可点击计划/网络部分相应行（行动下方）上的“删除”按钮完成。若仅需删除某个变量，可点击观测/实测部分相应行上的“删除”按钮。</w:t>
      </w:r>
    </w:p>
    <w:p>
      <w:pPr>
        <w:tabs>
          <w:tab w:val="left" w:pos="1134"/>
        </w:tabs>
        <w:spacing w:after="240" w:line="240" w:lineRule="exact"/>
        <w:rPr>
          <w:rStyle w:val="338"/>
          <w:rFonts w:ascii="微软雅黑" w:hAnsi="微软雅黑" w:eastAsia="微软雅黑" w:cs="微软雅黑"/>
          <w:b/>
          <w:bCs/>
          <w:i/>
          <w:iCs/>
          <w:lang w:eastAsia="zh-CN"/>
        </w:rPr>
      </w:pPr>
      <w:r>
        <w:rPr>
          <w:rStyle w:val="338"/>
          <w:rFonts w:eastAsia="Verdana" w:cs="Verdana"/>
          <w:b/>
          <w:bCs/>
          <w:i/>
          <w:iCs/>
          <w:lang w:eastAsia="zh-CN"/>
        </w:rPr>
        <w:t>7.5.2.2</w:t>
      </w:r>
      <w:r>
        <w:rPr>
          <w:rStyle w:val="338"/>
          <w:rFonts w:eastAsia="Verdana" w:cs="Verdana"/>
          <w:b/>
          <w:bCs/>
          <w:i/>
          <w:iCs/>
          <w:lang w:eastAsia="zh-CN"/>
        </w:rPr>
        <w:tab/>
      </w:r>
      <w:r>
        <w:rPr>
          <w:rStyle w:val="338"/>
          <w:rFonts w:hint="eastAsia" w:ascii="微软雅黑" w:hAnsi="微软雅黑" w:eastAsia="微软雅黑" w:cs="微软雅黑"/>
          <w:b/>
          <w:bCs/>
          <w:i/>
          <w:iCs/>
          <w:lang w:eastAsia="zh-CN"/>
        </w:rPr>
        <w:t>删除获得批准的</w:t>
      </w:r>
      <w:r>
        <w:rPr>
          <w:rStyle w:val="338"/>
          <w:rFonts w:hint="eastAsia" w:eastAsia="Verdana" w:cs="Verdana"/>
          <w:b/>
          <w:bCs/>
          <w:i/>
          <w:iCs/>
          <w:lang w:eastAsia="zh-CN"/>
        </w:rPr>
        <w:t>GBON</w:t>
      </w:r>
      <w:r>
        <w:rPr>
          <w:rStyle w:val="338"/>
          <w:rFonts w:hint="eastAsia" w:ascii="微软雅黑" w:hAnsi="微软雅黑" w:eastAsia="微软雅黑" w:cs="微软雅黑"/>
          <w:b/>
          <w:bCs/>
          <w:i/>
          <w:iCs/>
          <w:lang w:eastAsia="zh-CN"/>
        </w:rPr>
        <w:t>台站</w:t>
      </w:r>
    </w:p>
    <w:p>
      <w:pPr>
        <w:spacing w:after="240" w:line="240" w:lineRule="exact"/>
        <w:rPr>
          <w:rStyle w:val="338"/>
          <w:rFonts w:eastAsia="Verdana" w:cs="Verdana"/>
          <w:lang w:eastAsia="zh-CN"/>
        </w:rPr>
      </w:pPr>
      <w:r>
        <w:rPr>
          <w:rStyle w:val="338"/>
          <w:rFonts w:hint="eastAsia" w:ascii="宋体" w:hAnsi="宋体" w:eastAsia="宋体" w:cs="宋体"/>
          <w:lang w:eastAsia="zh-CN"/>
        </w:rPr>
        <w:t>在编辑模式下，可在台站报告中删除获得批准的</w:t>
      </w:r>
      <w:r>
        <w:rPr>
          <w:rStyle w:val="338"/>
          <w:rFonts w:eastAsia="宋体" w:cs="Verdana"/>
          <w:lang w:eastAsia="zh-CN"/>
        </w:rPr>
        <w:t>GBON</w:t>
      </w:r>
      <w:r>
        <w:rPr>
          <w:rStyle w:val="338"/>
          <w:rFonts w:hint="eastAsia" w:ascii="宋体" w:hAnsi="宋体" w:eastAsia="宋体" w:cs="宋体"/>
          <w:lang w:eastAsia="zh-CN"/>
        </w:rPr>
        <w:t>台站。点击计划/网络部分下</w:t>
      </w:r>
      <w:r>
        <w:rPr>
          <w:rStyle w:val="338"/>
          <w:rFonts w:hint="eastAsia" w:eastAsia="微软雅黑" w:cs="Verdana"/>
          <w:lang w:eastAsia="zh-CN"/>
        </w:rPr>
        <w:t>G</w:t>
      </w:r>
      <w:r>
        <w:rPr>
          <w:rStyle w:val="338"/>
          <w:rFonts w:eastAsia="微软雅黑" w:cs="Verdana"/>
          <w:lang w:eastAsia="zh-CN"/>
        </w:rPr>
        <w:t>BON</w:t>
      </w:r>
      <w:r>
        <w:rPr>
          <w:rStyle w:val="338"/>
          <w:rFonts w:hint="eastAsia" w:ascii="宋体" w:hAnsi="宋体" w:eastAsia="宋体" w:cs="宋体"/>
          <w:lang w:eastAsia="zh-CN"/>
        </w:rPr>
        <w:t>旁边的“编辑”按钮，会出现一个窗口（图</w:t>
      </w:r>
      <w:r>
        <w:rPr>
          <w:rStyle w:val="338"/>
          <w:rFonts w:eastAsia="微软雅黑" w:cs="Verdana"/>
          <w:lang w:eastAsia="zh-CN"/>
        </w:rPr>
        <w:t>7.11</w:t>
      </w:r>
      <w:r>
        <w:rPr>
          <w:rStyle w:val="338"/>
          <w:rFonts w:hint="eastAsia" w:ascii="宋体" w:hAnsi="宋体" w:eastAsia="宋体" w:cs="宋体"/>
          <w:lang w:eastAsia="zh-CN"/>
        </w:rPr>
        <w:t>），显示有关</w:t>
      </w:r>
      <w:r>
        <w:rPr>
          <w:rStyle w:val="338"/>
          <w:rFonts w:eastAsia="微软雅黑" w:cs="Verdana"/>
          <w:lang w:eastAsia="zh-CN"/>
        </w:rPr>
        <w:t>GBON</w:t>
      </w:r>
      <w:r>
        <w:rPr>
          <w:rStyle w:val="338"/>
          <w:rFonts w:hint="eastAsia" w:ascii="宋体" w:hAnsi="宋体" w:eastAsia="宋体" w:cs="宋体"/>
          <w:lang w:eastAsia="zh-CN"/>
        </w:rPr>
        <w:t>台站的详细信息。另一个编辑按钮位于相应的状态行（行动下方），可将下拉菜单值设置为“关闭”并在“至”后的字段中输入日期来终止从属关系（图</w:t>
      </w:r>
      <w:r>
        <w:rPr>
          <w:rStyle w:val="338"/>
          <w:rFonts w:eastAsia="微软雅黑" w:cs="Verdana"/>
          <w:lang w:eastAsia="zh-CN"/>
        </w:rPr>
        <w:t>7.12</w:t>
      </w:r>
      <w:r>
        <w:rPr>
          <w:rStyle w:val="338"/>
          <w:rFonts w:hint="eastAsia" w:ascii="宋体" w:hAnsi="宋体" w:eastAsia="宋体" w:cs="宋体"/>
          <w:lang w:eastAsia="zh-CN"/>
        </w:rPr>
        <w:t>）。保存并提交修改信息后须等待批准（参见第</w:t>
      </w:r>
      <w:r>
        <w:rPr>
          <w:rStyle w:val="338"/>
          <w:rFonts w:eastAsia="微软雅黑" w:cs="Verdana"/>
          <w:lang w:eastAsia="zh-CN"/>
        </w:rPr>
        <w:t>3.2</w:t>
      </w:r>
      <w:r>
        <w:rPr>
          <w:rStyle w:val="338"/>
          <w:rFonts w:hint="eastAsia" w:eastAsia="微软雅黑" w:cs="Verdana"/>
          <w:lang w:eastAsia="zh-CN"/>
        </w:rPr>
        <w:t>节</w:t>
      </w:r>
      <w:r>
        <w:rPr>
          <w:rStyle w:val="338"/>
          <w:rFonts w:hint="eastAsia" w:ascii="宋体" w:hAnsi="宋体" w:eastAsia="宋体" w:cs="宋体"/>
          <w:lang w:eastAsia="zh-CN"/>
        </w:rPr>
        <w:t>）。</w:t>
      </w:r>
    </w:p>
    <w:p>
      <w:pPr>
        <w:pStyle w:val="2"/>
        <w:rPr>
          <w:lang w:eastAsia="zh-CN"/>
        </w:rPr>
      </w:pPr>
    </w:p>
    <w:p>
      <w:pPr>
        <w:keepNext/>
        <w:spacing w:before="120" w:line="276" w:lineRule="auto"/>
        <w:ind w:left="360"/>
      </w:pPr>
      <w:r>
        <w:drawing>
          <wp:inline distT="0" distB="0" distL="0" distR="0">
            <wp:extent cx="3733800" cy="37452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0"/>
                    <a:stretch>
                      <a:fillRect/>
                    </a:stretch>
                  </pic:blipFill>
                  <pic:spPr>
                    <a:xfrm>
                      <a:off x="0" y="0"/>
                      <a:ext cx="3747184" cy="3759163"/>
                    </a:xfrm>
                    <a:prstGeom prst="rect">
                      <a:avLst/>
                    </a:prstGeom>
                  </pic:spPr>
                </pic:pic>
              </a:graphicData>
            </a:graphic>
          </wp:inline>
        </w:drawing>
      </w:r>
    </w:p>
    <w:p>
      <w:pPr>
        <w:spacing w:after="240" w:line="240" w:lineRule="exact"/>
        <w:jc w:val="center"/>
        <w:rPr>
          <w:rFonts w:ascii="微软雅黑" w:hAnsi="微软雅黑" w:eastAsia="微软雅黑" w:cs="微软雅黑"/>
          <w:b/>
          <w:bCs/>
          <w:iCs/>
          <w:lang w:eastAsia="zh-CN"/>
        </w:rPr>
      </w:pPr>
      <w:r>
        <w:rPr>
          <w:rFonts w:hint="eastAsia" w:ascii="微软雅黑" w:hAnsi="微软雅黑" w:eastAsia="微软雅黑" w:cs="微软雅黑"/>
          <w:b/>
          <w:bCs/>
          <w:color w:val="auto"/>
          <w:lang w:val="en-US" w:eastAsia="zh-CN"/>
        </w:rPr>
        <w:t>图</w:t>
      </w:r>
      <w:r>
        <w:rPr>
          <w:rFonts w:eastAsia="Calibri"/>
          <w:b/>
          <w:bCs/>
          <w:iCs/>
          <w:color w:val="auto"/>
        </w:rPr>
        <w:t>7.11</w:t>
      </w:r>
      <w:r>
        <w:rPr>
          <w:rFonts w:hint="eastAsia" w:ascii="微软雅黑" w:hAnsi="微软雅黑" w:eastAsia="微软雅黑" w:cs="微软雅黑"/>
          <w:b/>
          <w:bCs/>
          <w:iCs/>
          <w:color w:val="auto"/>
          <w:lang w:eastAsia="zh-CN"/>
        </w:rPr>
        <w:t>：更新计划/网络</w:t>
      </w:r>
    </w:p>
    <w:p>
      <w:pPr>
        <w:keepNext/>
        <w:spacing w:before="120" w:line="276" w:lineRule="auto"/>
        <w:ind w:left="360"/>
      </w:pPr>
    </w:p>
    <w:p>
      <w:pPr>
        <w:keepNext/>
        <w:spacing w:before="120" w:line="276" w:lineRule="auto"/>
        <w:ind w:left="360"/>
      </w:pPr>
      <w:r>
        <w:drawing>
          <wp:inline distT="0" distB="0" distL="0" distR="0">
            <wp:extent cx="3684905" cy="1432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1"/>
                    <a:stretch>
                      <a:fillRect/>
                    </a:stretch>
                  </pic:blipFill>
                  <pic:spPr>
                    <a:xfrm>
                      <a:off x="0" y="0"/>
                      <a:ext cx="3752402" cy="1458854"/>
                    </a:xfrm>
                    <a:prstGeom prst="rect">
                      <a:avLst/>
                    </a:prstGeom>
                  </pic:spPr>
                </pic:pic>
              </a:graphicData>
            </a:graphic>
          </wp:inline>
        </w:drawing>
      </w:r>
    </w:p>
    <w:p>
      <w:pPr>
        <w:spacing w:after="240" w:line="240" w:lineRule="exact"/>
        <w:jc w:val="center"/>
        <w:rPr>
          <w:rFonts w:ascii="微软雅黑" w:hAnsi="微软雅黑" w:eastAsia="微软雅黑" w:cs="微软雅黑"/>
          <w:b/>
          <w:bCs/>
          <w:iCs/>
          <w:lang w:eastAsia="zh-CN"/>
        </w:rPr>
      </w:pPr>
      <w:r>
        <w:rPr>
          <w:rFonts w:hint="eastAsia" w:ascii="微软雅黑" w:hAnsi="微软雅黑" w:eastAsia="微软雅黑" w:cs="微软雅黑"/>
          <w:b/>
          <w:bCs/>
          <w:color w:val="auto"/>
          <w:lang w:val="en-US" w:eastAsia="zh-CN"/>
        </w:rPr>
        <w:t>图</w:t>
      </w:r>
      <w:r>
        <w:rPr>
          <w:rFonts w:eastAsia="Calibri"/>
          <w:b/>
          <w:bCs/>
          <w:iCs/>
          <w:color w:val="auto"/>
          <w:lang w:eastAsia="zh-CN"/>
        </w:rPr>
        <w:t>7.12</w:t>
      </w:r>
      <w:r>
        <w:rPr>
          <w:rFonts w:hint="eastAsia" w:ascii="微软雅黑" w:hAnsi="微软雅黑" w:eastAsia="微软雅黑" w:cs="微软雅黑"/>
          <w:b/>
          <w:bCs/>
          <w:iCs/>
          <w:color w:val="auto"/>
          <w:lang w:eastAsia="zh-CN"/>
        </w:rPr>
        <w:t>：修改计划/网络中的台站状态</w:t>
      </w:r>
    </w:p>
    <w:p>
      <w:pPr>
        <w:spacing w:before="360" w:after="240"/>
        <w:rPr>
          <w:rStyle w:val="338"/>
          <w:rFonts w:ascii="微软雅黑" w:hAnsi="微软雅黑" w:eastAsia="微软雅黑" w:cs="微软雅黑"/>
          <w:b/>
          <w:bCs/>
          <w:lang w:eastAsia="zh-CN"/>
        </w:rPr>
      </w:pPr>
      <w:r>
        <w:rPr>
          <w:rStyle w:val="338"/>
          <w:rFonts w:hint="eastAsia" w:ascii="微软雅黑" w:hAnsi="微软雅黑" w:eastAsia="微软雅黑" w:cs="微软雅黑"/>
          <w:b/>
          <w:bCs/>
          <w:lang w:eastAsia="zh-CN"/>
        </w:rPr>
        <w:t>重要提示：</w:t>
      </w:r>
    </w:p>
    <w:p>
      <w:pPr>
        <w:spacing w:after="240" w:line="240" w:lineRule="exact"/>
        <w:ind w:left="567" w:hanging="567"/>
        <w:rPr>
          <w:rStyle w:val="338"/>
          <w:rFonts w:ascii="宋体" w:hAnsi="宋体" w:eastAsia="宋体" w:cs="宋体"/>
          <w:lang w:eastAsia="zh-CN"/>
        </w:rPr>
      </w:pPr>
      <w:r>
        <w:rPr>
          <w:rStyle w:val="338"/>
          <w:rFonts w:eastAsia="Verdana" w:cs="Verdana"/>
          <w:lang w:eastAsia="zh-CN"/>
        </w:rPr>
        <w:t xml:space="preserve">1. </w:t>
      </w:r>
      <w:r>
        <w:rPr>
          <w:rStyle w:val="338"/>
          <w:rFonts w:eastAsia="Verdana" w:cs="Verdana"/>
          <w:lang w:eastAsia="zh-CN"/>
        </w:rPr>
        <w:tab/>
      </w:r>
      <w:r>
        <w:rPr>
          <w:rStyle w:val="338"/>
          <w:rFonts w:hint="eastAsia" w:ascii="宋体" w:hAnsi="宋体" w:eastAsia="宋体" w:cs="微软雅黑"/>
          <w:lang w:eastAsia="zh-CN"/>
        </w:rPr>
        <w:t>对</w:t>
      </w:r>
      <w:r>
        <w:rPr>
          <w:rStyle w:val="338"/>
          <w:rFonts w:hint="eastAsia" w:ascii="宋体" w:hAnsi="宋体" w:eastAsia="宋体" w:cs="宋体"/>
          <w:lang w:eastAsia="zh-CN"/>
        </w:rPr>
        <w:t>台站元数据的任何修改只有在保存后才能生效；</w:t>
      </w:r>
    </w:p>
    <w:p>
      <w:pPr>
        <w:spacing w:after="240" w:line="240" w:lineRule="exact"/>
        <w:ind w:left="567" w:hanging="567"/>
        <w:rPr>
          <w:rStyle w:val="338"/>
          <w:rFonts w:ascii="宋体" w:hAnsi="宋体" w:eastAsia="宋体" w:cs="宋体"/>
        </w:rPr>
      </w:pPr>
      <w:r>
        <w:rPr>
          <w:rStyle w:val="338"/>
          <w:rFonts w:eastAsia="Verdana" w:cs="Verdana"/>
        </w:rPr>
        <w:t xml:space="preserve">2. </w:t>
      </w:r>
      <w:r>
        <w:rPr>
          <w:rStyle w:val="338"/>
          <w:rFonts w:eastAsia="Verdana" w:cs="Verdana"/>
        </w:rPr>
        <w:tab/>
      </w:r>
      <w:r>
        <w:rPr>
          <w:rStyle w:val="338"/>
          <w:rFonts w:hint="eastAsia" w:ascii="宋体" w:hAnsi="宋体" w:eastAsia="宋体" w:cs="宋体"/>
          <w:lang w:eastAsia="zh-CN"/>
        </w:rPr>
        <w:t>可</w:t>
      </w:r>
      <w:r>
        <w:rPr>
          <w:rStyle w:val="338"/>
          <w:rFonts w:hint="eastAsia" w:ascii="宋体" w:hAnsi="宋体" w:eastAsia="宋体" w:cs="宋体"/>
        </w:rPr>
        <w:t>在</w:t>
      </w:r>
      <w:r>
        <w:rPr>
          <w:rStyle w:val="338"/>
          <w:rFonts w:hint="eastAsia" w:eastAsia="宋体" w:cs="Verdana"/>
          <w:lang w:eastAsia="zh-CN"/>
        </w:rPr>
        <w:t>OSCAR/地表</w:t>
      </w:r>
      <w:r>
        <w:rPr>
          <w:rStyle w:val="338"/>
          <w:rFonts w:hint="eastAsia" w:ascii="宋体" w:hAnsi="宋体" w:eastAsia="宋体" w:cs="宋体"/>
        </w:rPr>
        <w:t>的测试平台（</w:t>
      </w:r>
      <w:r>
        <w:rPr>
          <w:rStyle w:val="338"/>
          <w:rFonts w:eastAsia="宋体" w:cs="Verdana"/>
        </w:rPr>
        <w:t>https://oscardepl.wmo.int/surface</w:t>
      </w:r>
      <w:r>
        <w:rPr>
          <w:rStyle w:val="338"/>
          <w:rFonts w:hint="eastAsia" w:ascii="宋体" w:hAnsi="宋体" w:eastAsia="宋体" w:cs="宋体"/>
        </w:rPr>
        <w:t>）上</w:t>
      </w:r>
      <w:r>
        <w:rPr>
          <w:rStyle w:val="338"/>
          <w:rFonts w:hint="eastAsia" w:ascii="宋体" w:hAnsi="宋体" w:eastAsia="宋体" w:cs="宋体"/>
          <w:lang w:eastAsia="zh-CN"/>
        </w:rPr>
        <w:t>在</w:t>
      </w:r>
      <w:r>
        <w:rPr>
          <w:rStyle w:val="338"/>
          <w:rFonts w:hint="eastAsia" w:ascii="宋体" w:hAnsi="宋体" w:eastAsia="宋体" w:cs="宋体"/>
        </w:rPr>
        <w:t>更新正式生效前对其进行测试。</w:t>
      </w:r>
    </w:p>
    <w:p>
      <w:pPr>
        <w:pStyle w:val="2"/>
      </w:pPr>
    </w:p>
    <w:p>
      <w:pPr>
        <w:pStyle w:val="2"/>
      </w:pPr>
    </w:p>
    <w:p>
      <w:pPr>
        <w:pStyle w:val="106"/>
        <w:outlineLvl w:val="1"/>
        <w:rPr>
          <w:rFonts w:ascii="微软雅黑" w:hAnsi="微软雅黑" w:eastAsia="微软雅黑" w:cs="微软雅黑"/>
          <w:lang w:eastAsia="zh-CN"/>
        </w:rPr>
      </w:pPr>
      <w:bookmarkStart w:id="60" w:name="_p_484c5b24247846b0a59ab41e6d53cc81"/>
      <w:bookmarkEnd w:id="60"/>
      <w:bookmarkStart w:id="61" w:name="_p_5f3e12f5609940f789b4c14ae1d02723"/>
      <w:bookmarkEnd w:id="61"/>
      <w:r>
        <w:rPr>
          <w:lang w:eastAsia="zh-CN"/>
        </w:rPr>
        <w:t xml:space="preserve">8. </w:t>
      </w:r>
      <w:r>
        <w:rPr>
          <w:lang w:eastAsia="zh-CN"/>
        </w:rPr>
        <w:tab/>
      </w:r>
      <w:r>
        <w:rPr>
          <w:caps w:val="0"/>
          <w:lang w:eastAsia="zh-CN"/>
        </w:rPr>
        <w:t>WDQMS</w:t>
      </w:r>
      <w:r>
        <w:rPr>
          <w:rFonts w:hint="eastAsia" w:ascii="微软雅黑" w:hAnsi="微软雅黑" w:eastAsia="微软雅黑" w:cs="微软雅黑"/>
          <w:caps w:val="0"/>
          <w:lang w:eastAsia="zh-CN"/>
        </w:rPr>
        <w:t>绩效监测</w:t>
      </w:r>
    </w:p>
    <w:p>
      <w:pPr>
        <w:pStyle w:val="371"/>
        <w:shd w:val="clear" w:color="auto" w:fill="FFFFFF"/>
        <w:spacing w:before="0" w:beforeAutospacing="0" w:after="240" w:afterAutospacing="0"/>
        <w:rPr>
          <w:rFonts w:ascii="宋体" w:hAnsi="宋体" w:eastAsia="宋体" w:cs="宋体"/>
          <w:color w:val="242424"/>
          <w:sz w:val="20"/>
          <w:szCs w:val="20"/>
          <w:lang w:eastAsia="zh-CN"/>
        </w:rPr>
      </w:pPr>
      <w:bookmarkStart w:id="62" w:name="_Toc506888265"/>
      <w:bookmarkEnd w:id="62"/>
      <w:bookmarkStart w:id="63" w:name="_p_392d0af41adf40cd9d8387a8ad450af1"/>
      <w:bookmarkEnd w:id="63"/>
      <w:bookmarkStart w:id="64" w:name="_p_6bb0e7cf91dc44e5a1b1cbd830ac25d9"/>
      <w:bookmarkEnd w:id="64"/>
      <w:bookmarkStart w:id="65" w:name="_Toc506888261"/>
      <w:bookmarkEnd w:id="65"/>
      <w:bookmarkStart w:id="66" w:name="_Toc506888262"/>
      <w:bookmarkEnd w:id="66"/>
      <w:bookmarkStart w:id="67" w:name="_p_4df0e9003ad64537aa88c4257589949a"/>
      <w:bookmarkEnd w:id="67"/>
      <w:bookmarkStart w:id="68" w:name="_p_007f9cf57cf4428cae657eec0d626333"/>
      <w:bookmarkEnd w:id="68"/>
      <w:bookmarkStart w:id="69" w:name="_Toc479012964"/>
      <w:bookmarkEnd w:id="69"/>
      <w:bookmarkStart w:id="70" w:name="_Toc506888271"/>
      <w:bookmarkEnd w:id="70"/>
      <w:bookmarkStart w:id="71" w:name="_p_e87e3bcfa63242c6a42f7fad234e9fc5"/>
      <w:bookmarkEnd w:id="71"/>
      <w:r>
        <w:rPr>
          <w:rFonts w:hint="eastAsia" w:ascii="Verdana" w:hAnsi="Verdana" w:cs="Calibri"/>
          <w:color w:val="242424"/>
          <w:sz w:val="20"/>
          <w:szCs w:val="20"/>
          <w:lang w:eastAsia="zh-CN"/>
        </w:rPr>
        <w:t>WDQMS</w:t>
      </w:r>
      <w:r>
        <w:rPr>
          <w:rFonts w:hint="eastAsia" w:ascii="宋体" w:hAnsi="宋体" w:eastAsia="宋体" w:cs="宋体"/>
          <w:color w:val="242424"/>
          <w:sz w:val="20"/>
          <w:szCs w:val="20"/>
          <w:lang w:eastAsia="zh-CN"/>
        </w:rPr>
        <w:t>网络工具的</w:t>
      </w:r>
      <w:r>
        <w:rPr>
          <w:rFonts w:ascii="Verdana" w:hAnsi="Verdana" w:eastAsia="宋体" w:cs="Verdana"/>
          <w:color w:val="242424"/>
          <w:sz w:val="20"/>
          <w:szCs w:val="20"/>
          <w:lang w:eastAsia="zh-CN"/>
        </w:rPr>
        <w:t>GBON</w:t>
      </w:r>
      <w:r>
        <w:rPr>
          <w:rFonts w:hint="eastAsia" w:ascii="宋体" w:hAnsi="宋体" w:eastAsia="宋体" w:cs="宋体"/>
          <w:color w:val="242424"/>
          <w:sz w:val="20"/>
          <w:szCs w:val="20"/>
          <w:lang w:eastAsia="zh-CN"/>
        </w:rPr>
        <w:t>模块向会员及时提供了与</w:t>
      </w:r>
      <w:r>
        <w:rPr>
          <w:rFonts w:ascii="Verdana" w:hAnsi="Verdana" w:eastAsia="宋体" w:cs="Verdana"/>
          <w:color w:val="242424"/>
          <w:sz w:val="20"/>
          <w:szCs w:val="20"/>
          <w:lang w:eastAsia="zh-CN"/>
        </w:rPr>
        <w:t>GBON</w:t>
      </w:r>
      <w:r>
        <w:rPr>
          <w:rFonts w:hint="eastAsia" w:ascii="宋体" w:hAnsi="宋体" w:eastAsia="宋体" w:cs="宋体"/>
          <w:color w:val="242424"/>
          <w:sz w:val="20"/>
          <w:szCs w:val="20"/>
          <w:lang w:eastAsia="zh-CN"/>
        </w:rPr>
        <w:t>规则相关的台站级绩效反馈。该系统建立在</w:t>
      </w:r>
      <w:r>
        <w:rPr>
          <w:rFonts w:ascii="Verdana" w:hAnsi="Verdana" w:eastAsia="宋体" w:cs="Verdana"/>
          <w:color w:val="242424"/>
          <w:sz w:val="20"/>
          <w:szCs w:val="20"/>
          <w:lang w:eastAsia="zh-CN"/>
        </w:rPr>
        <w:t>INFCOM</w:t>
      </w:r>
      <w:r>
        <w:rPr>
          <w:rFonts w:hint="eastAsia" w:ascii="宋体" w:hAnsi="宋体" w:eastAsia="宋体" w:cs="宋体"/>
          <w:color w:val="242424"/>
          <w:sz w:val="20"/>
          <w:szCs w:val="20"/>
          <w:lang w:eastAsia="zh-CN"/>
        </w:rPr>
        <w:t>采用的</w:t>
      </w:r>
      <w:r>
        <w:rPr>
          <w:rFonts w:ascii="Verdana" w:hAnsi="Verdana" w:eastAsia="宋体" w:cs="Verdana"/>
          <w:color w:val="242424"/>
          <w:sz w:val="20"/>
          <w:szCs w:val="20"/>
          <w:lang w:eastAsia="zh-CN"/>
        </w:rPr>
        <w:t>GBON</w:t>
      </w:r>
      <w:r>
        <w:rPr>
          <w:rFonts w:hint="eastAsia" w:ascii="宋体" w:hAnsi="宋体" w:eastAsia="宋体" w:cs="宋体"/>
          <w:color w:val="242424"/>
          <w:sz w:val="20"/>
          <w:szCs w:val="20"/>
          <w:lang w:eastAsia="zh-CN"/>
        </w:rPr>
        <w:t>合规标准基础上。</w:t>
      </w:r>
      <w:r>
        <w:rPr>
          <w:rFonts w:ascii="Verdana" w:hAnsi="Verdana" w:eastAsia="宋体" w:cs="Verdana"/>
          <w:color w:val="242424"/>
          <w:sz w:val="20"/>
          <w:szCs w:val="20"/>
          <w:lang w:eastAsia="zh-CN"/>
        </w:rPr>
        <w:t>WDQMS</w:t>
      </w:r>
      <w:r>
        <w:rPr>
          <w:rFonts w:hint="eastAsia" w:ascii="宋体" w:hAnsi="宋体" w:eastAsia="宋体" w:cs="宋体"/>
          <w:color w:val="242424"/>
          <w:sz w:val="20"/>
          <w:szCs w:val="20"/>
          <w:lang w:eastAsia="zh-CN"/>
        </w:rPr>
        <w:t>网络工具的</w:t>
      </w:r>
      <w:r>
        <w:rPr>
          <w:rFonts w:ascii="Verdana" w:hAnsi="Verdana" w:eastAsia="宋体" w:cs="Verdana"/>
          <w:color w:val="242424"/>
          <w:sz w:val="20"/>
          <w:szCs w:val="20"/>
          <w:lang w:eastAsia="zh-CN"/>
        </w:rPr>
        <w:t>GBON</w:t>
      </w:r>
      <w:r>
        <w:rPr>
          <w:rFonts w:hint="eastAsia" w:ascii="宋体" w:hAnsi="宋体" w:eastAsia="宋体" w:cs="宋体"/>
          <w:color w:val="242424"/>
          <w:sz w:val="20"/>
          <w:szCs w:val="20"/>
          <w:lang w:eastAsia="zh-CN"/>
        </w:rPr>
        <w:t>模块还提供了有助于开展会员级</w:t>
      </w:r>
      <w:r>
        <w:rPr>
          <w:rFonts w:ascii="Verdana" w:hAnsi="Verdana" w:eastAsia="宋体" w:cs="Verdana"/>
          <w:color w:val="242424"/>
          <w:sz w:val="20"/>
          <w:szCs w:val="20"/>
          <w:lang w:eastAsia="zh-CN"/>
        </w:rPr>
        <w:t>GBON</w:t>
      </w:r>
      <w:r>
        <w:rPr>
          <w:rFonts w:hint="eastAsia" w:ascii="宋体" w:hAnsi="宋体" w:eastAsia="宋体" w:cs="宋体"/>
          <w:color w:val="242424"/>
          <w:sz w:val="20"/>
          <w:szCs w:val="20"/>
          <w:lang w:eastAsia="zh-CN"/>
        </w:rPr>
        <w:t>合规监测的定量数据。</w:t>
      </w:r>
    </w:p>
    <w:p>
      <w:pPr>
        <w:pStyle w:val="371"/>
        <w:shd w:val="clear" w:color="auto" w:fill="FFFFFF"/>
        <w:spacing w:before="0" w:beforeAutospacing="0" w:after="240" w:afterAutospacing="0"/>
        <w:rPr>
          <w:rFonts w:ascii="宋体" w:hAnsi="宋体" w:eastAsia="宋体" w:cs="宋体"/>
          <w:color w:val="242424"/>
          <w:sz w:val="20"/>
          <w:szCs w:val="20"/>
          <w:lang w:eastAsia="zh-CN"/>
        </w:rPr>
      </w:pPr>
      <w:r>
        <w:rPr>
          <w:rFonts w:hint="eastAsia" w:ascii="宋体" w:hAnsi="宋体" w:eastAsia="宋体" w:cs="宋体"/>
          <w:color w:val="242424"/>
          <w:sz w:val="20"/>
          <w:szCs w:val="20"/>
          <w:lang w:eastAsia="zh-CN"/>
        </w:rPr>
        <w:t>有关</w:t>
      </w:r>
      <w:r>
        <w:rPr>
          <w:rFonts w:ascii="Verdana" w:hAnsi="Verdana" w:eastAsia="宋体" w:cs="Verdana"/>
          <w:color w:val="242424"/>
          <w:sz w:val="20"/>
          <w:szCs w:val="20"/>
          <w:lang w:eastAsia="zh-CN"/>
        </w:rPr>
        <w:t>WDQMS</w:t>
      </w:r>
      <w:r>
        <w:rPr>
          <w:rFonts w:hint="eastAsia" w:ascii="宋体" w:hAnsi="宋体" w:eastAsia="宋体" w:cs="宋体"/>
          <w:color w:val="242424"/>
          <w:sz w:val="20"/>
          <w:szCs w:val="20"/>
          <w:lang w:eastAsia="zh-CN"/>
        </w:rPr>
        <w:t>网络工具的</w:t>
      </w:r>
      <w:r>
        <w:rPr>
          <w:rFonts w:ascii="Verdana" w:hAnsi="Verdana" w:eastAsia="宋体" w:cs="Verdana"/>
          <w:color w:val="242424"/>
          <w:sz w:val="20"/>
          <w:szCs w:val="20"/>
          <w:lang w:eastAsia="zh-CN"/>
        </w:rPr>
        <w:t>GBON</w:t>
      </w:r>
      <w:r>
        <w:rPr>
          <w:rFonts w:hint="eastAsia" w:ascii="宋体" w:hAnsi="宋体" w:eastAsia="宋体" w:cs="宋体"/>
          <w:color w:val="242424"/>
          <w:sz w:val="20"/>
          <w:szCs w:val="20"/>
          <w:lang w:eastAsia="zh-CN"/>
        </w:rPr>
        <w:t>模块的详细信息，请参阅</w:t>
      </w:r>
      <w:r>
        <w:fldChar w:fldCharType="begin"/>
      </w:r>
      <w:r>
        <w:instrText xml:space="preserve"> HYPERLINK "https://confluence.ecmwf.int/display/WIGOSWT" </w:instrText>
      </w:r>
      <w:r>
        <w:fldChar w:fldCharType="separate"/>
      </w:r>
      <w:r>
        <w:rPr>
          <w:rStyle w:val="43"/>
          <w:rFonts w:ascii="Verdana" w:hAnsi="Verdana" w:eastAsia="宋体" w:cs="Verdana"/>
          <w:color w:val="242424"/>
          <w:sz w:val="20"/>
          <w:szCs w:val="20"/>
          <w:lang w:eastAsia="zh-CN"/>
        </w:rPr>
        <w:t>WDQMS</w:t>
      </w:r>
      <w:r>
        <w:rPr>
          <w:rStyle w:val="43"/>
          <w:rFonts w:hint="eastAsia" w:ascii="宋体" w:hAnsi="宋体" w:eastAsia="宋体" w:cs="宋体"/>
          <w:color w:val="242424"/>
          <w:sz w:val="20"/>
          <w:szCs w:val="20"/>
          <w:lang w:eastAsia="zh-CN"/>
        </w:rPr>
        <w:t>线上用户指南</w:t>
      </w:r>
      <w:r>
        <w:rPr>
          <w:rStyle w:val="43"/>
          <w:rFonts w:hint="eastAsia" w:ascii="宋体" w:hAnsi="宋体" w:eastAsia="宋体" w:cs="宋体"/>
          <w:color w:val="242424"/>
          <w:sz w:val="20"/>
          <w:szCs w:val="20"/>
          <w:lang w:eastAsia="zh-CN"/>
        </w:rPr>
        <w:fldChar w:fldCharType="end"/>
      </w:r>
      <w:r>
        <w:rPr>
          <w:rFonts w:hint="eastAsia" w:ascii="宋体" w:hAnsi="宋体" w:eastAsia="宋体" w:cs="宋体"/>
          <w:color w:val="242424"/>
          <w:sz w:val="20"/>
          <w:szCs w:val="20"/>
          <w:lang w:eastAsia="zh-CN"/>
        </w:rPr>
        <w:t>。</w:t>
      </w:r>
    </w:p>
    <w:p>
      <w:pPr>
        <w:rPr>
          <w:rFonts w:ascii="Arial" w:hAnsi="Arial" w:eastAsia="Times New Roman" w:cs="Times New Roman"/>
          <w:color w:val="2F275B"/>
          <w:sz w:val="18"/>
          <w:szCs w:val="24"/>
          <w:lang w:eastAsia="zh-CN"/>
        </w:rPr>
      </w:pPr>
      <w:bookmarkStart w:id="72" w:name="_Toc479012976"/>
      <w:bookmarkEnd w:id="72"/>
      <w:bookmarkStart w:id="73" w:name="_Toc475553223"/>
      <w:bookmarkEnd w:id="73"/>
      <w:bookmarkStart w:id="74" w:name="_Toc475553221"/>
      <w:bookmarkEnd w:id="74"/>
      <w:bookmarkStart w:id="75" w:name="_Toc479012978"/>
      <w:bookmarkEnd w:id="75"/>
      <w:bookmarkStart w:id="76" w:name="_Toc479012972"/>
      <w:bookmarkEnd w:id="76"/>
      <w:bookmarkStart w:id="77" w:name="_Toc479012974"/>
      <w:bookmarkEnd w:id="77"/>
      <w:bookmarkStart w:id="78" w:name="_p_5f97c77a2c814fa9bb493319db20b54b"/>
      <w:bookmarkEnd w:id="78"/>
      <w:bookmarkStart w:id="79" w:name="_p_e6009e90d5e84256bcbf6a98914e0701"/>
      <w:bookmarkEnd w:id="79"/>
      <w:bookmarkStart w:id="80" w:name="_Toc475553218"/>
      <w:bookmarkEnd w:id="80"/>
      <w:bookmarkStart w:id="81" w:name="_Toc475553222"/>
      <w:bookmarkEnd w:id="81"/>
      <w:bookmarkStart w:id="82" w:name="_Toc475553224"/>
      <w:bookmarkEnd w:id="82"/>
      <w:bookmarkStart w:id="83" w:name="_Toc475553219"/>
      <w:bookmarkEnd w:id="83"/>
      <w:bookmarkStart w:id="84" w:name="_Toc479012975"/>
      <w:bookmarkEnd w:id="84"/>
      <w:bookmarkStart w:id="85" w:name="_Toc479012971"/>
      <w:bookmarkEnd w:id="85"/>
      <w:bookmarkStart w:id="86" w:name="_p_c5ea933459454c2cb6234bd58eecd6ee"/>
      <w:bookmarkEnd w:id="86"/>
      <w:bookmarkStart w:id="87" w:name="_Toc479012970"/>
      <w:bookmarkEnd w:id="87"/>
      <w:bookmarkStart w:id="88" w:name="_Toc479012973"/>
      <w:bookmarkEnd w:id="88"/>
      <w:bookmarkStart w:id="89" w:name="_Toc479012977"/>
      <w:bookmarkEnd w:id="89"/>
      <w:bookmarkStart w:id="90" w:name="_Toc475553220"/>
      <w:bookmarkEnd w:id="90"/>
    </w:p>
    <w:p>
      <w:pPr>
        <w:pStyle w:val="2"/>
        <w:rPr>
          <w:lang w:eastAsia="zh-CN"/>
        </w:rPr>
      </w:pPr>
    </w:p>
    <w:p>
      <w:pPr>
        <w:pStyle w:val="2"/>
        <w:jc w:val="center"/>
        <w:rPr>
          <w:lang w:eastAsia="en-US"/>
        </w:rPr>
      </w:pPr>
      <w:r>
        <w:rPr>
          <w:lang w:eastAsia="en-US"/>
        </w:rPr>
        <w:t>______________</w:t>
      </w:r>
    </w:p>
    <w:sectPr>
      <w:headerReference r:id="rId6" w:type="first"/>
      <w:footerReference r:id="rId7" w:type="first"/>
      <w:headerReference r:id="rId4" w:type="default"/>
      <w:headerReference r:id="rId5" w:type="even"/>
      <w:pgSz w:w="11907" w:h="16840"/>
      <w:pgMar w:top="1134" w:right="1134" w:bottom="1134" w:left="1134" w:header="709" w:footer="1134" w:gutter="0"/>
      <w:cols w:space="720" w:num="1"/>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PMingLiU">
    <w:altName w:val="Segoe Print"/>
    <w:panose1 w:val="00000000000000000000"/>
    <w:charset w:val="00"/>
    <w:family w:val="auto"/>
    <w:pitch w:val="default"/>
    <w:sig w:usb0="00000000" w:usb1="00000000" w:usb2="00000000" w:usb3="00000000" w:csb0="00000000" w:csb1="00000000"/>
  </w:font>
  <w:font w:name="Lucida Grande">
    <w:altName w:val="Segoe UI"/>
    <w:panose1 w:val="00000000000000000000"/>
    <w:charset w:val="00"/>
    <w:family w:val="auto"/>
    <w:pitch w:val="default"/>
    <w:sig w:usb0="00000000" w:usb1="00000000" w:usb2="00000000" w:usb3="00000000" w:csb0="000001BF" w:csb1="00000000"/>
  </w:font>
  <w:font w:name="Univers">
    <w:altName w:val="Arial"/>
    <w:panose1 w:val="00000000000000000000"/>
    <w:charset w:val="00"/>
    <w:family w:val="swiss"/>
    <w:pitch w:val="default"/>
    <w:sig w:usb0="00000000" w:usb1="00000000" w:usb2="00000000" w:usb3="00000000" w:csb0="0000000F" w:csb1="00000000"/>
  </w:font>
  <w:font w:name="Arial Bold">
    <w:altName w:val="Times New Roman"/>
    <w:panose1 w:val="020B0704020202020204"/>
    <w:charset w:val="00"/>
    <w:family w:val="roman"/>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STIX">
    <w:altName w:val="Calibri"/>
    <w:panose1 w:val="00000000000000000000"/>
    <w:charset w:val="00"/>
    <w:family w:val="modern"/>
    <w:pitch w:val="default"/>
    <w:sig w:usb0="00000000" w:usb1="00000000" w:usb2="02000000" w:usb3="00000000" w:csb0="000001FF" w:csb1="00000000"/>
  </w:font>
  <w:font w:name="STIX Math">
    <w:altName w:val="Calibri"/>
    <w:panose1 w:val="00000000000000000000"/>
    <w:charset w:val="00"/>
    <w:family w:val="modern"/>
    <w:pitch w:val="default"/>
    <w:sig w:usb0="00000000" w:usb1="00000000" w:usb2="02000020" w:usb3="00000000" w:csb0="000001FF" w:csb1="00000000"/>
  </w:font>
  <w:font w:name="StoneSerif-SemiboldItalic">
    <w:altName w:val="Verdana"/>
    <w:panose1 w:val="00000000000000000000"/>
    <w:charset w:val="00"/>
    <w:family w:val="roman"/>
    <w:pitch w:val="default"/>
    <w:sig w:usb0="00000000" w:usb1="00000000" w:usb2="00000000" w:usb3="00000000" w:csb0="00000001" w:csb1="00000000"/>
  </w:font>
  <w:font w:name="StoneSans">
    <w:altName w:val="Verdana"/>
    <w:panose1 w:val="00000000000000000000"/>
    <w:charset w:val="00"/>
    <w:family w:val="swiss"/>
    <w:pitch w:val="default"/>
    <w:sig w:usb0="00000000" w:usb1="00000000" w:usb2="00000000" w:usb3="00000000" w:csb0="00000001" w:csb1="00000000"/>
  </w:font>
  <w:font w:name="StoneSans-Semibold">
    <w:altName w:val="Verdana"/>
    <w:panose1 w:val="00000000000000000000"/>
    <w:charset w:val="4D"/>
    <w:family w:val="auto"/>
    <w:pitch w:val="default"/>
    <w:sig w:usb0="00000000" w:usb1="00000000" w:usb2="00000000" w:usb3="00000000" w:csb0="00000001" w:csb1="00000000"/>
  </w:font>
  <w:font w:name="StoneSans-Bold">
    <w:altName w:val="Cambria"/>
    <w:panose1 w:val="00000000000000000000"/>
    <w:charset w:val="00"/>
    <w:family w:val="roman"/>
    <w:pitch w:val="default"/>
    <w:sig w:usb0="00000000" w:usb1="00000000" w:usb2="00000000" w:usb3="00000000" w:csb0="00000001" w:csb1="00000000"/>
  </w:font>
  <w:font w:name="StoneSansITC-Medium">
    <w:altName w:val="Calibri"/>
    <w:panose1 w:val="00000000000000000000"/>
    <w:charset w:val="4D"/>
    <w:family w:val="auto"/>
    <w:pitch w:val="default"/>
    <w:sig w:usb0="00000000" w:usb1="00000000" w:usb2="00000000" w:usb3="00000000" w:csb0="00000001" w:csb1="00000000"/>
  </w:font>
  <w:font w:name="StoneSansITC-MediumItalic">
    <w:altName w:val="Verdana"/>
    <w:panose1 w:val="00000000000000000000"/>
    <w:charset w:val="4D"/>
    <w:family w:val="auto"/>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Stone Sans ITC">
    <w:altName w:val="Calibri"/>
    <w:panose1 w:val="000000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Segoe UI">
    <w:panose1 w:val="020B0502040204020203"/>
    <w:charset w:val="00"/>
    <w:family w:val="swiss"/>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8405417"/>
    </w:sdtPr>
    <w:sdtContent>
      <w:p>
        <w:pPr>
          <w:pStyle w:val="22"/>
          <w:jc w:val="center"/>
        </w:pPr>
        <w:r>
          <w:fldChar w:fldCharType="begin"/>
        </w:r>
        <w:r>
          <w:instrText xml:space="preserve"> PAGE   \* MERGEFORMAT </w:instrText>
        </w:r>
        <w:r>
          <w:fldChar w:fldCharType="separate"/>
        </w:r>
        <w:r>
          <w:t>2</w:t>
        </w:r>
        <w:r>
          <w:fldChar w:fldCharType="end"/>
        </w:r>
      </w:p>
    </w:sdtContent>
  </w:sdt>
  <w:p>
    <w:pPr>
      <w:pStyle w:val="2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4">
    <w:p>
      <w:r>
        <w:separator/>
      </w:r>
    </w:p>
  </w:footnote>
  <w:footnote w:type="continuationSeparator" w:id="25">
    <w:p>
      <w:r>
        <w:continuationSeparator/>
      </w:r>
    </w:p>
  </w:footnote>
  <w:footnote w:id="0">
    <w:p>
      <w:pPr>
        <w:pStyle w:val="28"/>
        <w:rPr>
          <w:rFonts w:ascii="宋体" w:hAnsi="宋体" w:eastAsia="宋体" w:cs="宋体"/>
          <w:sz w:val="18"/>
          <w:szCs w:val="22"/>
          <w:lang w:val="en-US" w:eastAsia="zh-CN"/>
        </w:rPr>
      </w:pPr>
      <w:r>
        <w:rPr>
          <w:rStyle w:val="45"/>
          <w:sz w:val="18"/>
          <w:szCs w:val="22"/>
        </w:rPr>
        <w:footnoteRef/>
      </w:r>
      <w:r>
        <w:rPr>
          <w:sz w:val="18"/>
          <w:szCs w:val="22"/>
          <w:lang w:val="en-US" w:eastAsia="zh-CN"/>
        </w:rPr>
        <w:t xml:space="preserve"> </w:t>
      </w:r>
      <w:r>
        <w:rPr>
          <w:rFonts w:hint="eastAsia" w:ascii="宋体" w:hAnsi="宋体" w:eastAsia="宋体" w:cs="宋体"/>
          <w:sz w:val="18"/>
          <w:szCs w:val="22"/>
          <w:lang w:val="en-US" w:eastAsia="zh-CN"/>
        </w:rPr>
        <w:t>在具备能力的情况下，数据交换必须满足高密度的要求。详见第</w:t>
      </w:r>
      <w:r>
        <w:rPr>
          <w:rFonts w:hint="eastAsia"/>
          <w:sz w:val="18"/>
          <w:szCs w:val="22"/>
          <w:lang w:val="en-US" w:eastAsia="zh-CN"/>
        </w:rPr>
        <w:t>2.2</w:t>
      </w:r>
      <w:r>
        <w:rPr>
          <w:rFonts w:hint="eastAsia" w:ascii="宋体" w:hAnsi="宋体" w:eastAsia="宋体" w:cs="宋体"/>
          <w:sz w:val="18"/>
          <w:szCs w:val="22"/>
          <w:lang w:val="en-US" w:eastAsia="zh-CN"/>
        </w:rPr>
        <w:t>节。</w:t>
      </w:r>
    </w:p>
  </w:footnote>
  <w:footnote w:id="1">
    <w:p>
      <w:pPr>
        <w:pStyle w:val="28"/>
        <w:rPr>
          <w:rFonts w:ascii="宋体" w:hAnsi="宋体" w:eastAsia="宋体" w:cs="宋体"/>
          <w:lang w:val="en-US" w:eastAsia="zh-CN"/>
        </w:rPr>
      </w:pPr>
      <w:r>
        <w:rPr>
          <w:rStyle w:val="45"/>
          <w:sz w:val="18"/>
          <w:szCs w:val="22"/>
        </w:rPr>
        <w:footnoteRef/>
      </w:r>
      <w:r>
        <w:rPr>
          <w:rFonts w:hint="eastAsia" w:ascii="宋体" w:hAnsi="宋体" w:eastAsia="宋体" w:cs="宋体"/>
          <w:sz w:val="18"/>
          <w:szCs w:val="22"/>
          <w:lang w:val="en-US" w:eastAsia="zh-CN"/>
        </w:rPr>
        <w:t xml:space="preserve"> 在具备能力的情况下，强制要求进行数据交换。</w:t>
      </w:r>
    </w:p>
  </w:footnote>
  <w:footnote w:id="2">
    <w:p>
      <w:pPr>
        <w:pStyle w:val="28"/>
        <w:spacing w:after="120"/>
        <w:rPr>
          <w:rFonts w:eastAsia="宋体"/>
          <w:sz w:val="18"/>
          <w:szCs w:val="18"/>
          <w:lang w:eastAsia="zh-CN"/>
        </w:rPr>
      </w:pPr>
      <w:r>
        <w:rPr>
          <w:rStyle w:val="45"/>
          <w:sz w:val="18"/>
          <w:szCs w:val="18"/>
        </w:rPr>
        <w:footnoteRef/>
      </w:r>
      <w:r>
        <w:rPr>
          <w:sz w:val="18"/>
          <w:szCs w:val="18"/>
          <w:lang w:val="en-US" w:eastAsia="zh-CN"/>
        </w:rPr>
        <w:t xml:space="preserve"> </w:t>
      </w:r>
      <w:r>
        <w:rPr>
          <w:rFonts w:hint="eastAsia"/>
          <w:sz w:val="18"/>
          <w:szCs w:val="18"/>
          <w:lang w:val="en-US" w:eastAsia="zh-CN"/>
        </w:rPr>
        <w:t>WDQMS</w:t>
      </w:r>
      <w:r>
        <w:rPr>
          <w:rFonts w:hint="eastAsia" w:ascii="宋体" w:hAnsi="宋体" w:eastAsia="宋体" w:cs="宋体"/>
          <w:sz w:val="18"/>
          <w:szCs w:val="18"/>
          <w:lang w:val="en-US" w:eastAsia="zh-CN"/>
        </w:rPr>
        <w:t>网络工具监测的至少两个</w:t>
      </w:r>
      <w:r>
        <w:rPr>
          <w:rFonts w:hint="eastAsia" w:ascii="微软雅黑" w:hAnsi="微软雅黑" w:eastAsia="微软雅黑" w:cs="微软雅黑"/>
          <w:sz w:val="18"/>
          <w:szCs w:val="18"/>
          <w:lang w:val="en-US" w:eastAsia="zh-CN"/>
        </w:rPr>
        <w:t>NWP</w:t>
      </w:r>
      <w:r>
        <w:rPr>
          <w:rFonts w:hint="eastAsia" w:ascii="宋体" w:hAnsi="宋体" w:eastAsia="宋体" w:cs="宋体"/>
          <w:sz w:val="18"/>
          <w:szCs w:val="18"/>
          <w:lang w:val="en-US" w:eastAsia="zh-CN"/>
        </w:rPr>
        <w:t>中心收到的</w:t>
      </w:r>
      <w:r>
        <w:rPr>
          <w:rFonts w:hint="eastAsia" w:ascii="微软雅黑" w:hAnsi="微软雅黑" w:eastAsia="微软雅黑" w:cs="微软雅黑"/>
          <w:sz w:val="18"/>
          <w:szCs w:val="18"/>
          <w:lang w:val="en-US" w:eastAsia="zh-CN"/>
        </w:rPr>
        <w:t>BUFR</w:t>
      </w:r>
      <w:r>
        <w:rPr>
          <w:rFonts w:hint="eastAsia" w:ascii="宋体" w:hAnsi="宋体" w:eastAsia="宋体" w:cs="宋体"/>
          <w:sz w:val="18"/>
          <w:szCs w:val="18"/>
          <w:lang w:val="en-US" w:eastAsia="zh-CN"/>
        </w:rPr>
        <w:t>报告中观测变量的每月汇总</w:t>
      </w:r>
    </w:p>
  </w:footnote>
  <w:footnote w:id="3">
    <w:p>
      <w:pPr>
        <w:pStyle w:val="28"/>
        <w:spacing w:after="120"/>
        <w:rPr>
          <w:sz w:val="18"/>
          <w:szCs w:val="22"/>
          <w:lang w:val="en-US" w:eastAsia="zh-CN"/>
        </w:rPr>
      </w:pPr>
      <w:r>
        <w:rPr>
          <w:rStyle w:val="45"/>
          <w:sz w:val="18"/>
          <w:szCs w:val="22"/>
        </w:rPr>
        <w:footnoteRef/>
      </w:r>
      <w:r>
        <w:rPr>
          <w:sz w:val="18"/>
          <w:szCs w:val="22"/>
          <w:lang w:eastAsia="zh-CN"/>
        </w:rPr>
        <w:t xml:space="preserve"> </w:t>
      </w:r>
      <w:r>
        <w:rPr>
          <w:rFonts w:hint="eastAsia" w:ascii="宋体" w:hAnsi="宋体" w:eastAsia="宋体" w:cs="宋体"/>
          <w:sz w:val="18"/>
          <w:szCs w:val="22"/>
          <w:lang w:eastAsia="zh-CN"/>
        </w:rPr>
        <w:t>如果一个台站靠手动操作，但并非</w:t>
      </w:r>
      <w:r>
        <w:rPr>
          <w:rFonts w:hint="eastAsia" w:ascii="微软雅黑" w:hAnsi="微软雅黑" w:eastAsia="微软雅黑" w:cs="微软雅黑"/>
          <w:sz w:val="18"/>
          <w:szCs w:val="18"/>
          <w:lang w:val="en-US" w:eastAsia="zh-CN"/>
        </w:rPr>
        <w:t>24</w:t>
      </w:r>
      <w:r>
        <w:rPr>
          <w:rFonts w:hint="eastAsia" w:ascii="宋体" w:hAnsi="宋体" w:eastAsia="宋体" w:cs="宋体"/>
          <w:sz w:val="18"/>
          <w:szCs w:val="22"/>
          <w:lang w:eastAsia="zh-CN"/>
        </w:rPr>
        <w:t>小时持续运行，则这个数字可以减少到</w:t>
      </w:r>
      <w:r>
        <w:rPr>
          <w:rFonts w:hint="eastAsia" w:ascii="微软雅黑" w:hAnsi="微软雅黑" w:eastAsia="微软雅黑" w:cs="微软雅黑"/>
          <w:sz w:val="18"/>
          <w:szCs w:val="18"/>
          <w:lang w:val="en-US" w:eastAsia="zh-CN"/>
        </w:rPr>
        <w:t>OSCAR/</w:t>
      </w:r>
      <w:r>
        <w:rPr>
          <w:rFonts w:hint="eastAsia" w:ascii="宋体" w:hAnsi="宋体" w:eastAsia="宋体" w:cs="宋体"/>
          <w:sz w:val="18"/>
          <w:szCs w:val="22"/>
          <w:lang w:val="en-US" w:eastAsia="zh-CN"/>
        </w:rPr>
        <w:t>地表</w:t>
      </w:r>
      <w:r>
        <w:rPr>
          <w:rFonts w:hint="eastAsia" w:ascii="宋体" w:hAnsi="宋体" w:eastAsia="宋体" w:cs="宋体"/>
          <w:sz w:val="18"/>
          <w:szCs w:val="22"/>
          <w:lang w:eastAsia="zh-CN"/>
        </w:rPr>
        <w:t>中记录的业务小时数（每小时报告，即</w:t>
      </w:r>
      <w:r>
        <w:rPr>
          <w:rFonts w:hint="eastAsia" w:ascii="微软雅黑" w:hAnsi="微软雅黑" w:eastAsia="微软雅黑" w:cs="微软雅黑"/>
          <w:sz w:val="18"/>
          <w:szCs w:val="18"/>
          <w:lang w:val="en-US" w:eastAsia="zh-CN"/>
        </w:rPr>
        <w:t>0800 - 1700 = 10</w:t>
      </w:r>
      <w:r>
        <w:rPr>
          <w:rFonts w:hint="eastAsia" w:ascii="宋体" w:hAnsi="宋体" w:eastAsia="宋体" w:cs="宋体"/>
          <w:sz w:val="18"/>
          <w:szCs w:val="22"/>
          <w:lang w:eastAsia="zh-CN"/>
        </w:rPr>
        <w:t>份报告）。需要将这种情况登记为</w:t>
      </w:r>
      <w:r>
        <w:rPr>
          <w:rFonts w:eastAsia="宋体" w:cs="Verdana"/>
          <w:sz w:val="18"/>
          <w:szCs w:val="22"/>
          <w:lang w:eastAsia="zh-CN"/>
        </w:rPr>
        <w:t>GBON</w:t>
      </w:r>
      <w:r>
        <w:rPr>
          <w:rFonts w:hint="eastAsia" w:eastAsia="宋体" w:cs="Verdana"/>
          <w:sz w:val="18"/>
          <w:szCs w:val="22"/>
          <w:lang w:eastAsia="zh-CN"/>
        </w:rPr>
        <w:t>规则</w:t>
      </w:r>
      <w:r>
        <w:rPr>
          <w:rFonts w:hint="eastAsia" w:ascii="宋体" w:hAnsi="宋体" w:eastAsia="宋体" w:cs="宋体"/>
          <w:sz w:val="18"/>
          <w:szCs w:val="22"/>
          <w:lang w:eastAsia="zh-CN"/>
        </w:rPr>
        <w:t>的一个例外。</w:t>
      </w:r>
    </w:p>
  </w:footnote>
  <w:footnote w:id="4">
    <w:p>
      <w:pPr>
        <w:pStyle w:val="28"/>
        <w:spacing w:after="120"/>
        <w:rPr>
          <w:rFonts w:ascii="宋体" w:hAnsi="宋体" w:eastAsia="宋体" w:cs="宋体"/>
          <w:sz w:val="18"/>
          <w:szCs w:val="18"/>
          <w:lang w:eastAsia="zh-CN"/>
        </w:rPr>
      </w:pPr>
      <w:r>
        <w:rPr>
          <w:rStyle w:val="45"/>
          <w:sz w:val="18"/>
          <w:szCs w:val="18"/>
        </w:rPr>
        <w:footnoteRef/>
      </w:r>
      <w:r>
        <w:rPr>
          <w:sz w:val="18"/>
          <w:szCs w:val="18"/>
          <w:lang w:eastAsia="zh-CN"/>
        </w:rPr>
        <w:t xml:space="preserve"> </w:t>
      </w:r>
      <w:r>
        <w:rPr>
          <w:rFonts w:hint="eastAsia" w:ascii="宋体" w:hAnsi="宋体" w:eastAsia="宋体" w:cs="宋体"/>
          <w:sz w:val="18"/>
          <w:szCs w:val="18"/>
          <w:lang w:eastAsia="zh-CN"/>
        </w:rPr>
        <w:t>错过</w:t>
      </w:r>
      <w:r>
        <w:rPr>
          <w:rFonts w:hint="eastAsia"/>
          <w:sz w:val="18"/>
          <w:szCs w:val="18"/>
          <w:lang w:eastAsia="zh-CN"/>
        </w:rPr>
        <w:t>NWP</w:t>
      </w:r>
      <w:r>
        <w:rPr>
          <w:rFonts w:hint="eastAsia" w:ascii="宋体" w:hAnsi="宋体" w:eastAsia="宋体" w:cs="宋体"/>
          <w:sz w:val="18"/>
          <w:szCs w:val="18"/>
          <w:lang w:eastAsia="zh-CN"/>
        </w:rPr>
        <w:t>中心/</w:t>
      </w:r>
      <w:r>
        <w:rPr>
          <w:rFonts w:hint="eastAsia"/>
          <w:sz w:val="18"/>
          <w:szCs w:val="18"/>
          <w:lang w:eastAsia="zh-CN"/>
        </w:rPr>
        <w:t>WIS</w:t>
      </w:r>
      <w:r>
        <w:rPr>
          <w:rFonts w:hint="eastAsia" w:ascii="宋体" w:hAnsi="宋体" w:eastAsia="宋体" w:cs="宋体"/>
          <w:sz w:val="18"/>
          <w:szCs w:val="18"/>
          <w:lang w:eastAsia="zh-CN"/>
        </w:rPr>
        <w:t>截止时间的报告的每月汇总</w:t>
      </w:r>
    </w:p>
  </w:footnote>
  <w:footnote w:id="5">
    <w:p>
      <w:pPr>
        <w:pStyle w:val="28"/>
        <w:spacing w:after="120"/>
        <w:rPr>
          <w:rFonts w:ascii="宋体" w:hAnsi="宋体" w:eastAsia="宋体" w:cs="宋体"/>
          <w:sz w:val="18"/>
          <w:szCs w:val="18"/>
          <w:lang w:eastAsia="zh-CN"/>
        </w:rPr>
      </w:pPr>
      <w:r>
        <w:rPr>
          <w:rStyle w:val="45"/>
          <w:sz w:val="18"/>
          <w:szCs w:val="18"/>
        </w:rPr>
        <w:footnoteRef/>
      </w:r>
      <w:r>
        <w:rPr>
          <w:sz w:val="18"/>
          <w:szCs w:val="18"/>
          <w:lang w:eastAsia="zh-CN"/>
        </w:rPr>
        <w:t xml:space="preserve"> </w:t>
      </w:r>
      <w:r>
        <w:rPr>
          <w:rFonts w:hint="eastAsia" w:ascii="宋体" w:hAnsi="宋体" w:eastAsia="宋体" w:cs="宋体"/>
          <w:sz w:val="18"/>
          <w:szCs w:val="18"/>
          <w:lang w:eastAsia="zh-CN"/>
        </w:rPr>
        <w:t>每月</w:t>
      </w:r>
      <w:r>
        <w:rPr>
          <w:rFonts w:hint="eastAsia"/>
          <w:sz w:val="18"/>
          <w:szCs w:val="18"/>
          <w:lang w:eastAsia="zh-CN"/>
        </w:rPr>
        <w:t>NWP</w:t>
      </w:r>
      <w:r>
        <w:rPr>
          <w:rFonts w:hint="eastAsia" w:ascii="宋体" w:hAnsi="宋体" w:eastAsia="宋体" w:cs="宋体"/>
          <w:sz w:val="18"/>
          <w:szCs w:val="18"/>
          <w:lang w:eastAsia="zh-CN"/>
        </w:rPr>
        <w:t>中心驳回的报告汇总，也可能成为重大误差或超出</w:t>
      </w:r>
      <w:r>
        <w:rPr>
          <w:rFonts w:hint="eastAsia"/>
          <w:sz w:val="18"/>
          <w:szCs w:val="18"/>
          <w:lang w:eastAsia="zh-CN"/>
        </w:rPr>
        <w:t>OB-FG</w:t>
      </w:r>
      <w:r>
        <w:rPr>
          <w:rFonts w:hint="eastAsia" w:ascii="宋体" w:hAnsi="宋体" w:eastAsia="宋体" w:cs="宋体"/>
          <w:sz w:val="18"/>
          <w:szCs w:val="18"/>
          <w:lang w:eastAsia="zh-CN"/>
        </w:rPr>
        <w:t>阈值</w:t>
      </w:r>
    </w:p>
  </w:footnote>
  <w:footnote w:id="6">
    <w:p>
      <w:pPr>
        <w:pStyle w:val="28"/>
        <w:spacing w:after="120"/>
        <w:rPr>
          <w:sz w:val="18"/>
          <w:szCs w:val="22"/>
          <w:lang w:val="en-US" w:eastAsia="zh-CN"/>
        </w:rPr>
      </w:pPr>
      <w:r>
        <w:rPr>
          <w:rStyle w:val="45"/>
          <w:sz w:val="18"/>
          <w:szCs w:val="22"/>
        </w:rPr>
        <w:footnoteRef/>
      </w:r>
      <w:r>
        <w:rPr>
          <w:sz w:val="18"/>
          <w:szCs w:val="22"/>
          <w:lang w:eastAsia="zh-CN"/>
        </w:rPr>
        <w:t xml:space="preserve"> </w:t>
      </w:r>
      <w:r>
        <w:rPr>
          <w:rFonts w:hint="eastAsia"/>
          <w:sz w:val="18"/>
          <w:szCs w:val="22"/>
          <w:lang w:eastAsia="zh-CN"/>
        </w:rPr>
        <w:t>WDQMS</w:t>
      </w:r>
      <w:r>
        <w:rPr>
          <w:rFonts w:hint="eastAsia" w:ascii="宋体" w:hAnsi="宋体" w:eastAsia="宋体" w:cs="宋体"/>
          <w:sz w:val="18"/>
          <w:szCs w:val="22"/>
          <w:lang w:eastAsia="zh-CN"/>
        </w:rPr>
        <w:t>网络工具监测的至少两个</w:t>
      </w:r>
      <w:r>
        <w:rPr>
          <w:rFonts w:hint="eastAsia"/>
          <w:sz w:val="18"/>
          <w:szCs w:val="22"/>
          <w:lang w:eastAsia="zh-CN"/>
        </w:rPr>
        <w:t>NWP</w:t>
      </w:r>
      <w:r>
        <w:rPr>
          <w:rFonts w:hint="eastAsia" w:ascii="宋体" w:hAnsi="宋体" w:eastAsia="宋体" w:cs="宋体"/>
          <w:sz w:val="18"/>
          <w:szCs w:val="22"/>
          <w:lang w:eastAsia="zh-CN"/>
        </w:rPr>
        <w:t>中心收到的</w:t>
      </w:r>
      <w:r>
        <w:rPr>
          <w:rFonts w:hint="eastAsia"/>
          <w:sz w:val="18"/>
          <w:szCs w:val="22"/>
          <w:lang w:eastAsia="zh-CN"/>
        </w:rPr>
        <w:t>BUFR</w:t>
      </w:r>
      <w:r>
        <w:rPr>
          <w:rFonts w:hint="eastAsia" w:ascii="宋体" w:hAnsi="宋体" w:eastAsia="宋体" w:cs="宋体"/>
          <w:sz w:val="18"/>
          <w:szCs w:val="22"/>
          <w:lang w:eastAsia="zh-CN"/>
        </w:rPr>
        <w:t>报告中观测变量的每月汇总</w:t>
      </w:r>
    </w:p>
  </w:footnote>
  <w:footnote w:id="7">
    <w:p>
      <w:pPr>
        <w:pStyle w:val="28"/>
        <w:spacing w:after="120"/>
        <w:rPr>
          <w:rFonts w:ascii="宋体" w:hAnsi="宋体" w:eastAsia="宋体" w:cs="宋体"/>
          <w:sz w:val="18"/>
          <w:szCs w:val="22"/>
          <w:lang w:val="en-US" w:eastAsia="zh-CN"/>
        </w:rPr>
      </w:pPr>
      <w:r>
        <w:rPr>
          <w:rStyle w:val="45"/>
          <w:sz w:val="18"/>
          <w:szCs w:val="22"/>
        </w:rPr>
        <w:footnoteRef/>
      </w:r>
      <w:r>
        <w:rPr>
          <w:sz w:val="18"/>
          <w:szCs w:val="22"/>
          <w:lang w:eastAsia="zh-CN"/>
        </w:rPr>
        <w:t xml:space="preserve"> </w:t>
      </w:r>
      <w:r>
        <w:rPr>
          <w:rFonts w:hint="eastAsia" w:ascii="宋体" w:hAnsi="宋体" w:eastAsia="宋体" w:cs="宋体"/>
          <w:sz w:val="18"/>
          <w:szCs w:val="22"/>
          <w:lang w:eastAsia="zh-CN"/>
        </w:rPr>
        <w:t>如果无线电探空站每天只能进行一次探测，则可将该次数减少到</w:t>
      </w:r>
      <w:r>
        <w:rPr>
          <w:rFonts w:hint="eastAsia"/>
          <w:sz w:val="18"/>
          <w:szCs w:val="22"/>
          <w:lang w:eastAsia="zh-CN"/>
        </w:rPr>
        <w:t>OSCAR/地表</w:t>
      </w:r>
      <w:r>
        <w:rPr>
          <w:rFonts w:hint="eastAsia" w:ascii="宋体" w:hAnsi="宋体" w:eastAsia="宋体" w:cs="宋体"/>
          <w:sz w:val="18"/>
          <w:szCs w:val="22"/>
          <w:lang w:eastAsia="zh-CN"/>
        </w:rPr>
        <w:t>中记录的预定次数。需要将这种情况登记为</w:t>
      </w:r>
      <w:r>
        <w:rPr>
          <w:rFonts w:eastAsia="宋体" w:cs="Verdana"/>
          <w:sz w:val="18"/>
          <w:szCs w:val="22"/>
          <w:lang w:eastAsia="zh-CN"/>
        </w:rPr>
        <w:t>GBON</w:t>
      </w:r>
      <w:r>
        <w:rPr>
          <w:rFonts w:hint="eastAsia" w:eastAsia="宋体" w:cs="Verdana"/>
          <w:sz w:val="18"/>
          <w:szCs w:val="22"/>
          <w:lang w:eastAsia="zh-CN"/>
        </w:rPr>
        <w:t>规则</w:t>
      </w:r>
      <w:r>
        <w:rPr>
          <w:rFonts w:hint="eastAsia" w:ascii="宋体" w:hAnsi="宋体" w:eastAsia="宋体" w:cs="宋体"/>
          <w:sz w:val="18"/>
          <w:szCs w:val="22"/>
          <w:lang w:eastAsia="zh-CN"/>
        </w:rPr>
        <w:t>的一个例外。</w:t>
      </w:r>
    </w:p>
  </w:footnote>
  <w:footnote w:id="8">
    <w:p>
      <w:pPr>
        <w:pStyle w:val="28"/>
        <w:spacing w:after="120"/>
        <w:rPr>
          <w:sz w:val="18"/>
          <w:szCs w:val="22"/>
          <w:lang w:val="en-US" w:eastAsia="zh-CN"/>
        </w:rPr>
      </w:pPr>
      <w:r>
        <w:rPr>
          <w:rStyle w:val="45"/>
          <w:sz w:val="18"/>
          <w:szCs w:val="22"/>
        </w:rPr>
        <w:footnoteRef/>
      </w:r>
      <w:r>
        <w:rPr>
          <w:sz w:val="18"/>
          <w:szCs w:val="22"/>
          <w:lang w:eastAsia="zh-CN"/>
        </w:rPr>
        <w:t xml:space="preserve"> </w:t>
      </w:r>
      <w:r>
        <w:rPr>
          <w:rFonts w:hint="eastAsia"/>
          <w:sz w:val="18"/>
          <w:szCs w:val="22"/>
          <w:lang w:eastAsia="zh-CN"/>
        </w:rPr>
        <w:t>WDQMS</w:t>
      </w:r>
      <w:r>
        <w:rPr>
          <w:rFonts w:hint="eastAsia" w:ascii="宋体" w:hAnsi="宋体" w:eastAsia="宋体" w:cs="宋体"/>
          <w:sz w:val="18"/>
          <w:szCs w:val="22"/>
          <w:lang w:eastAsia="zh-CN"/>
        </w:rPr>
        <w:t>网络工具监测的至少两个</w:t>
      </w:r>
      <w:r>
        <w:rPr>
          <w:rFonts w:hint="eastAsia"/>
          <w:sz w:val="18"/>
          <w:szCs w:val="22"/>
          <w:lang w:eastAsia="zh-CN"/>
        </w:rPr>
        <w:t>NWP</w:t>
      </w:r>
      <w:r>
        <w:rPr>
          <w:rFonts w:hint="eastAsia" w:ascii="宋体" w:hAnsi="宋体" w:eastAsia="宋体" w:cs="宋体"/>
          <w:sz w:val="18"/>
          <w:szCs w:val="22"/>
          <w:lang w:eastAsia="zh-CN"/>
        </w:rPr>
        <w:t>中心确认的高分辨率数据（</w:t>
      </w:r>
      <w:r>
        <w:rPr>
          <w:rFonts w:hint="eastAsia"/>
          <w:sz w:val="18"/>
          <w:szCs w:val="22"/>
          <w:lang w:eastAsia="zh-CN"/>
        </w:rPr>
        <w:t>BUFR</w:t>
      </w:r>
      <w:r>
        <w:rPr>
          <w:rFonts w:hint="eastAsia" w:ascii="宋体" w:hAnsi="宋体" w:eastAsia="宋体" w:cs="宋体"/>
          <w:sz w:val="18"/>
          <w:szCs w:val="22"/>
          <w:lang w:eastAsia="zh-CN"/>
        </w:rPr>
        <w:t>）</w:t>
      </w:r>
    </w:p>
  </w:footnote>
  <w:footnote w:id="9">
    <w:p>
      <w:pPr>
        <w:pStyle w:val="28"/>
        <w:spacing w:after="120"/>
        <w:rPr>
          <w:sz w:val="18"/>
          <w:szCs w:val="18"/>
          <w:lang w:eastAsia="zh-CN"/>
        </w:rPr>
      </w:pPr>
      <w:r>
        <w:rPr>
          <w:rStyle w:val="45"/>
          <w:sz w:val="18"/>
          <w:szCs w:val="18"/>
        </w:rPr>
        <w:footnoteRef/>
      </w:r>
      <w:r>
        <w:rPr>
          <w:sz w:val="18"/>
          <w:szCs w:val="18"/>
          <w:lang w:eastAsia="zh-CN"/>
        </w:rPr>
        <w:t xml:space="preserve"> </w:t>
      </w:r>
      <w:r>
        <w:rPr>
          <w:rFonts w:hint="eastAsia" w:ascii="宋体" w:hAnsi="宋体" w:eastAsia="宋体" w:cs="宋体"/>
          <w:sz w:val="18"/>
          <w:szCs w:val="18"/>
          <w:lang w:eastAsia="zh-CN"/>
        </w:rPr>
        <w:t>错过</w:t>
      </w:r>
      <w:r>
        <w:rPr>
          <w:rFonts w:hint="eastAsia"/>
          <w:sz w:val="18"/>
          <w:szCs w:val="18"/>
          <w:lang w:eastAsia="zh-CN"/>
        </w:rPr>
        <w:t>NWP</w:t>
      </w:r>
      <w:r>
        <w:rPr>
          <w:rFonts w:hint="eastAsia" w:ascii="宋体" w:hAnsi="宋体" w:eastAsia="宋体" w:cs="宋体"/>
          <w:sz w:val="18"/>
          <w:szCs w:val="18"/>
          <w:lang w:eastAsia="zh-CN"/>
        </w:rPr>
        <w:t>中心/</w:t>
      </w:r>
      <w:r>
        <w:rPr>
          <w:rFonts w:hint="eastAsia"/>
          <w:sz w:val="18"/>
          <w:szCs w:val="18"/>
          <w:lang w:eastAsia="zh-CN"/>
        </w:rPr>
        <w:t>WIS</w:t>
      </w:r>
      <w:r>
        <w:rPr>
          <w:rFonts w:hint="eastAsia" w:ascii="宋体" w:hAnsi="宋体" w:eastAsia="宋体" w:cs="宋体"/>
          <w:sz w:val="18"/>
          <w:szCs w:val="18"/>
          <w:lang w:eastAsia="zh-CN"/>
        </w:rPr>
        <w:t>截止时间的报告的每月汇总</w:t>
      </w:r>
    </w:p>
  </w:footnote>
  <w:footnote w:id="10">
    <w:p>
      <w:pPr>
        <w:pStyle w:val="28"/>
        <w:spacing w:after="120"/>
        <w:rPr>
          <w:szCs w:val="16"/>
          <w:lang w:eastAsia="zh-CN"/>
        </w:rPr>
      </w:pPr>
      <w:r>
        <w:rPr>
          <w:rStyle w:val="45"/>
          <w:sz w:val="18"/>
          <w:szCs w:val="18"/>
        </w:rPr>
        <w:footnoteRef/>
      </w:r>
      <w:r>
        <w:rPr>
          <w:sz w:val="18"/>
          <w:szCs w:val="18"/>
          <w:lang w:eastAsia="zh-CN"/>
        </w:rPr>
        <w:t xml:space="preserve"> </w:t>
      </w:r>
      <w:r>
        <w:rPr>
          <w:rFonts w:hint="eastAsia" w:ascii="宋体" w:hAnsi="宋体" w:eastAsia="宋体" w:cs="宋体"/>
          <w:sz w:val="18"/>
          <w:szCs w:val="18"/>
          <w:lang w:eastAsia="zh-CN"/>
        </w:rPr>
        <w:t>每月</w:t>
      </w:r>
      <w:r>
        <w:rPr>
          <w:rFonts w:hint="eastAsia"/>
          <w:sz w:val="18"/>
          <w:szCs w:val="18"/>
          <w:lang w:eastAsia="zh-CN"/>
        </w:rPr>
        <w:t>NWP</w:t>
      </w:r>
      <w:r>
        <w:rPr>
          <w:rFonts w:hint="eastAsia" w:ascii="宋体" w:hAnsi="宋体" w:eastAsia="宋体" w:cs="宋体"/>
          <w:sz w:val="18"/>
          <w:szCs w:val="18"/>
          <w:lang w:eastAsia="zh-CN"/>
        </w:rPr>
        <w:t>中心驳回的报告汇总，也可能成为重大误差或超出</w:t>
      </w:r>
      <w:r>
        <w:rPr>
          <w:rFonts w:hint="eastAsia"/>
          <w:sz w:val="18"/>
          <w:szCs w:val="18"/>
          <w:lang w:eastAsia="zh-CN"/>
        </w:rPr>
        <w:t>OB-FG</w:t>
      </w:r>
      <w:r>
        <w:rPr>
          <w:rFonts w:hint="eastAsia" w:ascii="宋体" w:hAnsi="宋体" w:eastAsia="宋体" w:cs="宋体"/>
          <w:sz w:val="18"/>
          <w:szCs w:val="18"/>
          <w:lang w:eastAsia="zh-CN"/>
        </w:rPr>
        <w:t>阈值</w:t>
      </w:r>
    </w:p>
  </w:footnote>
  <w:footnote w:id="11">
    <w:p>
      <w:pPr>
        <w:pStyle w:val="15"/>
        <w:rPr>
          <w:lang w:eastAsia="zh-CN"/>
        </w:rPr>
      </w:pPr>
      <w:r>
        <w:rPr>
          <w:rStyle w:val="45"/>
          <w:sz w:val="18"/>
          <w:szCs w:val="18"/>
        </w:rPr>
        <w:footnoteRef/>
      </w:r>
      <w:r>
        <w:rPr>
          <w:sz w:val="18"/>
          <w:szCs w:val="18"/>
          <w:lang w:eastAsia="zh-CN"/>
        </w:rPr>
        <w:t xml:space="preserve"> </w:t>
      </w:r>
      <w:r>
        <w:rPr>
          <w:rFonts w:hint="eastAsia" w:ascii="宋体" w:hAnsi="宋体" w:eastAsia="宋体" w:cs="宋体"/>
          <w:sz w:val="18"/>
          <w:szCs w:val="18"/>
          <w:lang w:eastAsia="zh-CN"/>
        </w:rPr>
        <w:t>对于在投资和合规阶段被指定为</w:t>
      </w:r>
      <w:r>
        <w:rPr>
          <w:rFonts w:eastAsia="宋体" w:cs="Verdana"/>
          <w:sz w:val="18"/>
          <w:szCs w:val="18"/>
          <w:lang w:eastAsia="zh-CN"/>
        </w:rPr>
        <w:t>SOFF</w:t>
      </w:r>
      <w:r>
        <w:rPr>
          <w:rFonts w:hint="eastAsia" w:ascii="宋体" w:hAnsi="宋体" w:eastAsia="宋体" w:cs="宋体"/>
          <w:sz w:val="18"/>
          <w:szCs w:val="18"/>
          <w:lang w:eastAsia="zh-CN"/>
        </w:rPr>
        <w:t>受益方的会员，任何因无法完全满足</w:t>
      </w:r>
      <w:r>
        <w:rPr>
          <w:rFonts w:eastAsia="宋体" w:cs="Verdana"/>
          <w:sz w:val="18"/>
          <w:szCs w:val="18"/>
          <w:lang w:eastAsia="zh-CN"/>
        </w:rPr>
        <w:t>GBON</w:t>
      </w:r>
      <w:r>
        <w:rPr>
          <w:rFonts w:hint="eastAsia" w:ascii="宋体" w:hAnsi="宋体" w:eastAsia="宋体" w:cs="宋体"/>
          <w:sz w:val="18"/>
          <w:szCs w:val="18"/>
          <w:lang w:eastAsia="zh-CN"/>
        </w:rPr>
        <w:t>要求而援引第</w:t>
      </w:r>
      <w:r>
        <w:rPr>
          <w:rFonts w:eastAsia="宋体" w:cs="Verdana"/>
          <w:sz w:val="18"/>
          <w:szCs w:val="18"/>
          <w:lang w:eastAsia="zh-CN"/>
        </w:rPr>
        <w:t>9</w:t>
      </w:r>
      <w:r>
        <w:rPr>
          <w:rFonts w:hint="eastAsia" w:ascii="宋体" w:hAnsi="宋体" w:eastAsia="宋体" w:cs="宋体"/>
          <w:sz w:val="18"/>
          <w:szCs w:val="18"/>
          <w:lang w:eastAsia="zh-CN"/>
        </w:rPr>
        <w:t>条</w:t>
      </w:r>
      <w:r>
        <w:rPr>
          <w:rFonts w:eastAsia="宋体" w:cs="Verdana"/>
          <w:sz w:val="18"/>
          <w:szCs w:val="18"/>
          <w:lang w:eastAsia="zh-CN"/>
        </w:rPr>
        <w:t>b</w:t>
      </w:r>
      <w:r>
        <w:rPr>
          <w:rFonts w:hint="eastAsia" w:ascii="宋体" w:hAnsi="宋体" w:eastAsia="宋体" w:cs="宋体"/>
          <w:sz w:val="18"/>
          <w:szCs w:val="18"/>
          <w:lang w:eastAsia="zh-CN"/>
        </w:rPr>
        <w:t>款的决定均须经</w:t>
      </w:r>
      <w:r>
        <w:rPr>
          <w:rFonts w:eastAsia="宋体" w:cs="Verdana"/>
          <w:sz w:val="18"/>
          <w:szCs w:val="18"/>
          <w:lang w:eastAsia="zh-CN"/>
        </w:rPr>
        <w:t>SOFF</w:t>
      </w:r>
      <w:r>
        <w:rPr>
          <w:rFonts w:hint="eastAsia" w:ascii="宋体" w:hAnsi="宋体" w:eastAsia="宋体" w:cs="宋体"/>
          <w:sz w:val="18"/>
          <w:szCs w:val="18"/>
          <w:lang w:eastAsia="zh-CN"/>
        </w:rPr>
        <w:t>指导委员会批准。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after="360"/>
      <w:jc w:val="center"/>
    </w:pPr>
    <w:r>
      <w:rPr>
        <w:lang w:val="de-DE"/>
      </w:rPr>
      <w:t>EC-76/</w:t>
    </w:r>
    <w:r>
      <w:rPr>
        <w:rFonts w:hint="eastAsia" w:eastAsia="宋体"/>
        <w:lang w:val="en-US" w:eastAsia="zh-CN"/>
      </w:rPr>
      <w:t>文件</w:t>
    </w:r>
    <w:r>
      <w:rPr>
        <w:lang w:val="de-DE"/>
      </w:rPr>
      <w:t xml:space="preserve">3.2(3), </w:t>
    </w:r>
    <w:r>
      <w:rPr>
        <w:rFonts w:hint="eastAsia" w:eastAsia="宋体"/>
        <w:lang w:val="en-US" w:eastAsia="zh-CN"/>
      </w:rPr>
      <w:t>附件</w:t>
    </w:r>
    <w:r>
      <w:rPr>
        <w:lang w:val="de-DE"/>
      </w:rPr>
      <w:t xml:space="preserve">, DRAFT 1, p. </w:t>
    </w:r>
    <w:r>
      <w:rPr>
        <w:rStyle w:val="39"/>
      </w:rPr>
      <w:fldChar w:fldCharType="begin"/>
    </w:r>
    <w:r>
      <w:rPr>
        <w:rStyle w:val="39"/>
        <w:lang w:val="de-DE"/>
      </w:rPr>
      <w:instrText xml:space="preserve"> PAGE </w:instrText>
    </w:r>
    <w:r>
      <w:rPr>
        <w:rStyle w:val="39"/>
      </w:rPr>
      <w:fldChar w:fldCharType="separate"/>
    </w:r>
    <w:r>
      <w:rPr>
        <w:rStyle w:val="39"/>
      </w:rPr>
      <w:t>5</w:t>
    </w:r>
    <w:r>
      <w:rPr>
        <w:rStyle w:val="39"/>
      </w:rPr>
      <w:fldChar w:fldCharType="end"/>
    </w:r>
    <w:r>
      <w:pict>
        <v:shape id="_x0000_s4098" o:spid="_x0000_s4098" o:spt="75" type="#_x0000_t75" style="position:absolute;left:0pt;margin-left:0pt;margin-top:0pt;height:50pt;width:50pt;visibility:hidden;z-index:251696128;mso-width-relative:page;mso-height-relative:page;" filled="f" o:preferrelative="t" stroked="f" coordsize="21600,21600">
          <v:path/>
          <v:fill on="f" focussize="0,0"/>
          <v:stroke on="f" joinstyle="miter"/>
          <v:imagedata o:title=""/>
          <o:lock v:ext="edit" selection="t" aspectratio="t"/>
        </v:shape>
      </w:pict>
    </w:r>
    <w:r>
      <w:pict>
        <v:shape id="_x0000_s4099" o:spid="_x0000_s4099" o:spt="75" type="#_x0000_t75" style="position:absolute;left:0pt;margin-left:0pt;margin-top:0pt;height:50pt;width:50pt;visibility:hidden;z-index:251697152;mso-width-relative:page;mso-height-relative:page;" filled="f" o:preferrelative="t" stroked="f" coordsize="21600,21600">
          <v:path/>
          <v:fill on="f" focussize="0,0"/>
          <v:stroke on="f" joinstyle="miter"/>
          <v:imagedata o:title=""/>
          <o:lock v:ext="edit" selection="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pict>
        <v:shape id="_x0000_s4100" o:spid="_x0000_s4100" o:spt="75" type="#_x0000_t75" style="position:absolute;left:0pt;height:550pt;width:595.3pt;mso-position-horizontal:left;mso-position-horizontal-relative:page;mso-position-vertical:top;mso-position-vertical-relative:page;z-index:-251613184;mso-width-relative:page;mso-height-relative:page;" filled="f" o:preferrelative="t" stroked="f" coordsize="21600,21600" o:allowincell="f">
          <v:path/>
          <v:fill on="f" focussize="0,0"/>
          <v:stroke on="f" joinstyle="miter"/>
          <v:imagedata r:id="rId1" o:title="docx4j-logo"/>
          <o:lock v:ext="edit" aspectratio="t"/>
        </v:shape>
      </w:pict>
    </w:r>
  </w:p>
  <w:p/>
  <w:p>
    <w:pPr>
      <w:pStyle w:val="23"/>
    </w:pPr>
    <w:r>
      <w:pict>
        <v:shape id="_x0000_s4101" o:spid="_x0000_s4101" o:spt="75" type="#_x0000_t75" style="position:absolute;left:0pt;height:550pt;width:595.3pt;mso-position-horizontal:left;mso-position-horizontal-relative:page;mso-position-vertical:top;mso-position-vertical-relative:page;z-index:-251614208;mso-width-relative:page;mso-height-relative:page;" filled="f" o:preferrelative="t" stroked="f" coordsize="21600,21600" o:allowincell="f">
          <v:path/>
          <v:fill on="f" focussize="0,0"/>
          <v:stroke on="f" joinstyle="miter"/>
          <v:imagedata r:id="rId1" o:title="docx4j-logo"/>
          <o:lock v:ext="edit" aspectratio="t"/>
        </v:shape>
      </w:pict>
    </w:r>
  </w:p>
  <w:p/>
  <w:p>
    <w:pPr>
      <w:pStyle w:val="23"/>
    </w:pPr>
    <w:r>
      <w:pict>
        <v:shape id="_x0000_s4102" o:spid="_x0000_s4102" o:spt="75" type="#_x0000_t75" style="position:absolute;left:0pt;height:550pt;width:595.3pt;mso-position-horizontal:left;mso-position-horizontal-relative:page;mso-position-vertical:top;mso-position-vertical-relative:page;z-index:-251615232;mso-width-relative:page;mso-height-relative:page;" filled="f" o:preferrelative="t" stroked="f" coordsize="21600,21600" o:allowincell="f">
          <v:path/>
          <v:fill on="f" focussize="0,0"/>
          <v:stroke on="f" joinstyle="miter"/>
          <v:imagedata r:id="rId1" o:title="docx4j-logo"/>
          <o:lock v:ext="edit" aspectratio="t"/>
        </v:shape>
      </w:pict>
    </w:r>
  </w:p>
  <w:p/>
  <w:p>
    <w:pPr>
      <w:pStyle w:val="23"/>
    </w:pPr>
    <w:r>
      <w:pict>
        <v:shape id="_x0000_s4103" o:spid="_x0000_s4103" o:spt="75" type="#_x0000_t75" style="position:absolute;left:0pt;height:550pt;width:595.3pt;mso-position-horizontal:left;mso-position-horizontal-relative:page;mso-position-vertical:top;mso-position-vertical-relative:page;z-index:-251616256;mso-width-relative:page;mso-height-relative:page;" filled="f" o:preferrelative="t" stroked="f" coordsize="21600,21600" o:allowincell="f">
          <v:path/>
          <v:fill on="f" focussize="0,0"/>
          <v:stroke on="f" joinstyle="miter"/>
          <v:imagedata r:id="rId1" o:title="docx4j-logo"/>
          <o:lock v:ext="edit" aspectratio="t"/>
        </v:shape>
      </w:pict>
    </w:r>
  </w:p>
  <w:p/>
  <w:p>
    <w:pPr>
      <w:pStyle w:val="23"/>
    </w:pPr>
    <w:r>
      <mc:AlternateContent>
        <mc:Choice Requires="wps">
          <w:drawing>
            <wp:anchor distT="0" distB="0" distL="114300" distR="114300" simplePos="0" relativeHeight="251683840"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21" o:spid="_x0000_s1026" o:spt="1" style="position:absolute;left:0pt;margin-left:0pt;margin-top:0pt;height:50pt;width:50pt;visibility:hidden;z-index:251683840;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uA6C0QAAAAUBAAAPAAAAAAAAAAEAIAAAACIAAABkcnMvZG93bnJldi54bWxQ&#10;SwECFAAUAAAACACHTuJALe799f4BAAAUBAAADgAAAAAAAAABACAAAAAgAQAAZHJzL2Uyb0RvYy54&#10;bWxQSwUGAAAAAAYABgBZAQAAkAUAAAAA&#10;">
              <v:fill on="f" focussize="0,0"/>
              <v:stroke on="f"/>
              <v:imagedata o:title=""/>
              <o:lock v:ext="edit" selection="t" aspectratio="t"/>
            </v:rect>
          </w:pict>
        </mc:Fallback>
      </mc:AlternateContent>
    </w:r>
    <w:r>
      <w:drawing>
        <wp:anchor distT="0" distB="0" distL="114300" distR="114300" simplePos="0" relativeHeight="251693056" behindDoc="1" locked="0" layoutInCell="0" allowOverlap="1">
          <wp:simplePos x="0" y="0"/>
          <wp:positionH relativeFrom="page">
            <wp:align>left</wp:align>
          </wp:positionH>
          <wp:positionV relativeFrom="page">
            <wp:align>top</wp:align>
          </wp:positionV>
          <wp:extent cx="6120765" cy="5655310"/>
          <wp:effectExtent l="0" t="0" r="0" b="2540"/>
          <wp:wrapNone/>
          <wp:docPr id="53" name="Picture 5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120765" cy="5655310"/>
                  </a:xfrm>
                  <a:prstGeom prst="rect">
                    <a:avLst/>
                  </a:prstGeom>
                  <a:noFill/>
                </pic:spPr>
              </pic:pic>
            </a:graphicData>
          </a:graphic>
        </wp:anchor>
      </w:drawing>
    </w:r>
    <w:r>
      <w:pict>
        <v:shape id="WordPictureWatermark835936646" o:spid="_x0000_s4104" o:spt="75" type="#_x0000_t75" style="position:absolute;left:0pt;height:550pt;width:595.3pt;mso-position-horizontal:left;mso-position-horizontal-relative:page;mso-position-vertical:top;mso-position-vertical-relative:page;z-index:-251617280;mso-width-relative:page;mso-height-relative:page;" filled="f" o:preferrelative="t" stroked="f" coordsize="21600,21600" o:allowincell="f">
          <v:path/>
          <v:fill on="f" focussize="0,0"/>
          <v:stroke on="f" joinstyle="miter"/>
          <v:imagedata r:id="rId1" o:title="docx4j-logo"/>
          <o:lock v:ext="edit" aspectratio="t"/>
        </v:shape>
      </w:pict>
    </w:r>
  </w:p>
  <w:p/>
  <w:p>
    <w:pPr>
      <w:pStyle w:val="23"/>
    </w:pPr>
    <w:r>
      <mc:AlternateContent>
        <mc:Choice Requires="wps">
          <w:drawing>
            <wp:anchor distT="0" distB="0" distL="114300" distR="114300" simplePos="0" relativeHeight="25168486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19" o:spid="_x0000_s1026" o:spt="1" style="position:absolute;left:0pt;margin-left:0pt;margin-top:0pt;height:50pt;width:50pt;visibility:hidden;z-index:25168486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uA6C0QAAAAUBAAAPAAAAAAAAAAEAIAAAACIAAABkcnMvZG93bnJldi54bWxQ&#10;SwECFAAUAAAACACHTuJAifq0eP4BAAAUBAAADgAAAAAAAAABACAAAAAgAQAAZHJzL2Uyb0RvYy54&#10;bWxQSwUGAAAAAAYABgBZAQAAkAUAAAAA&#10;">
              <v:fill on="f" focussize="0,0"/>
              <v:stroke on="f"/>
              <v:imagedata o:title=""/>
              <o:lock v:ext="edit" selection="t" aspectratio="t"/>
            </v:rect>
          </w:pict>
        </mc:Fallback>
      </mc:AlternateContent>
    </w:r>
    <w:r>
      <w:drawing>
        <wp:anchor distT="0" distB="0" distL="114300" distR="114300" simplePos="0" relativeHeight="251692032" behindDoc="1" locked="0" layoutInCell="0" allowOverlap="1">
          <wp:simplePos x="0" y="0"/>
          <wp:positionH relativeFrom="page">
            <wp:align>left</wp:align>
          </wp:positionH>
          <wp:positionV relativeFrom="page">
            <wp:align>top</wp:align>
          </wp:positionV>
          <wp:extent cx="6120765" cy="5655310"/>
          <wp:effectExtent l="0" t="0" r="0" b="2540"/>
          <wp:wrapNone/>
          <wp:docPr id="54" name="Picture 5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120765" cy="5655310"/>
                  </a:xfrm>
                  <a:prstGeom prst="rect">
                    <a:avLst/>
                  </a:prstGeom>
                  <a:noFill/>
                </pic:spPr>
              </pic:pic>
            </a:graphicData>
          </a:graphic>
        </wp:anchor>
      </w:drawing>
    </w:r>
  </w:p>
  <w:p/>
  <w:p>
    <w:pPr>
      <w:pStyle w:val="23"/>
    </w:pPr>
    <w:r>
      <mc:AlternateContent>
        <mc:Choice Requires="wps">
          <w:drawing>
            <wp:anchor distT="0" distB="0" distL="114300" distR="114300" simplePos="0" relativeHeight="251685888"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0pt;margin-top:0pt;height:50pt;width:50pt;visibility:hidden;z-index:251685888;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uA6C0QAAAAUBAAAPAAAAAAAAAAEAIAAAACIAAABkcnMvZG93bnJldi54bWxQ&#10;SwECFAAUAAAACACHTuJA8Z4VF/4BAAAUBAAADgAAAAAAAAABACAAAAAgAQAAZHJzL2Uyb0RvYy54&#10;bWxQSwUGAAAAAAYABgBZAQAAkAUAAAAA&#10;">
              <v:fill on="f" focussize="0,0"/>
              <v:stroke on="f"/>
              <v:imagedata o:title=""/>
              <o:lock v:ext="edit" selection="t" aspectratio="t"/>
            </v:rect>
          </w:pict>
        </mc:Fallback>
      </mc:AlternateContent>
    </w:r>
    <w:r>
      <w:drawing>
        <wp:anchor distT="0" distB="0" distL="114300" distR="114300" simplePos="0" relativeHeight="251691008" behindDoc="1" locked="0" layoutInCell="0" allowOverlap="1">
          <wp:simplePos x="0" y="0"/>
          <wp:positionH relativeFrom="page">
            <wp:align>left</wp:align>
          </wp:positionH>
          <wp:positionV relativeFrom="page">
            <wp:align>top</wp:align>
          </wp:positionV>
          <wp:extent cx="6120765" cy="5655310"/>
          <wp:effectExtent l="0" t="0" r="0" b="2540"/>
          <wp:wrapNone/>
          <wp:docPr id="55" name="Picture 5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120765" cy="5655310"/>
                  </a:xfrm>
                  <a:prstGeom prst="rect">
                    <a:avLst/>
                  </a:prstGeom>
                  <a:noFill/>
                </pic:spPr>
              </pic:pic>
            </a:graphicData>
          </a:graphic>
        </wp:anchor>
      </w:drawing>
    </w:r>
  </w:p>
  <w:p/>
  <w:p>
    <w:pPr>
      <w:pStyle w:val="23"/>
    </w:pPr>
    <w:r>
      <mc:AlternateContent>
        <mc:Choice Requires="wps">
          <w:drawing>
            <wp:anchor distT="0" distB="0" distL="114300" distR="114300" simplePos="0" relativeHeight="251687936"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0pt;margin-top:0pt;height:50pt;width:50pt;visibility:hidden;z-index:251687936;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S4DoLRAAAABQEAAA8AAAAAAAAAAQAgAAAAIgAAAGRycy9kb3ducmV2LnhtbFBL&#10;AQIUABQAAAAIAIdO4kCffQbE/QEAABIEAAAOAAAAAAAAAAEAIAAAACABAABkcnMvZTJvRG9jLnht&#10;bFBLBQYAAAAABgAGAFkBAACPBQAAAAA=&#10;">
              <v:fill on="f" focussize="0,0"/>
              <v:stroke on="f"/>
              <v:imagedata o:title=""/>
              <o:lock v:ext="edit" selection="t" aspectratio="t"/>
            </v:rect>
          </w:pict>
        </mc:Fallback>
      </mc:AlternateContent>
    </w:r>
    <w:r>
      <mc:AlternateContent>
        <mc:Choice Requires="wps">
          <w:drawing>
            <wp:anchor distT="0" distB="0" distL="114300" distR="114300" simplePos="0" relativeHeight="251686912"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0pt;margin-top:0pt;height:50pt;width:50pt;visibility:hidden;z-index:251686912;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uA6C0QAAAAUBAAAPAAAAAAAAAAEAIAAAACIAAABkcnMvZG93bnJldi54bWxQ&#10;SwECFAAUAAAACACHTuJATTet4f4BAAASBAAADgAAAAAAAAABACAAAAAgAQAAZHJzL2Uyb0RvYy54&#10;bWxQSwUGAAAAAAYABgBZAQAAkAUAAAAA&#10;">
              <v:fill on="f" focussize="0,0"/>
              <v:stroke on="f"/>
              <v:imagedata o:title=""/>
              <o:lock v:ext="edit" selection="t" aspectratio="t"/>
            </v:rect>
          </w:pict>
        </mc:Fallback>
      </mc:AlternateContent>
    </w:r>
    <w:r>
      <w:drawing>
        <wp:anchor distT="0" distB="0" distL="114300" distR="114300" simplePos="0" relativeHeight="251689984" behindDoc="1" locked="0" layoutInCell="0" allowOverlap="1">
          <wp:simplePos x="0" y="0"/>
          <wp:positionH relativeFrom="page">
            <wp:align>left</wp:align>
          </wp:positionH>
          <wp:positionV relativeFrom="page">
            <wp:align>top</wp:align>
          </wp:positionV>
          <wp:extent cx="6120765" cy="5655310"/>
          <wp:effectExtent l="0" t="0" r="0" b="2540"/>
          <wp:wrapNone/>
          <wp:docPr id="56" name="Picture 5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120765" cy="5655310"/>
                  </a:xfrm>
                  <a:prstGeom prst="rect">
                    <a:avLst/>
                  </a:prstGeom>
                  <a:noFill/>
                </pic:spPr>
              </pic:pic>
            </a:graphicData>
          </a:graphic>
        </wp:anchor>
      </w:drawing>
    </w:r>
  </w:p>
  <w:p/>
  <w:p>
    <w:pPr>
      <w:pStyle w:val="23"/>
    </w:pPr>
    <w:r>
      <mc:AlternateContent>
        <mc:Choice Requires="wps">
          <w:drawing>
            <wp:anchor distT="0" distB="0" distL="114300" distR="114300" simplePos="0" relativeHeight="251694080"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0pt;margin-top:0pt;height:50pt;width:50pt;visibility:hidden;z-index:251694080;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S4DoLRAAAABQEAAA8AAAAAAAAAAQAgAAAAIgAAAGRycy9kb3ducmV2LnhtbFBL&#10;AQIUABQAAAAIAIdO4kC44lIT/QEAABIEAAAOAAAAAAAAAAEAIAAAACABAABkcnMvZTJvRG9jLnht&#10;bFBLBQYAAAAABgAGAFkBAACPBQAAAAA=&#10;">
              <v:fill on="f" focussize="0,0"/>
              <v:stroke on="f"/>
              <v:imagedata o:title=""/>
              <o:lock v:ext="edit" selection="t" aspectratio="t"/>
            </v:rect>
          </w:pict>
        </mc:Fallback>
      </mc:AlternateContent>
    </w:r>
    <w:r>
      <mc:AlternateContent>
        <mc:Choice Requires="wps">
          <w:drawing>
            <wp:anchor distT="0" distB="0" distL="114300" distR="114300" simplePos="0" relativeHeight="251688960"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0pt;margin-top:0pt;height:50pt;width:50pt;visibility:hidden;z-index:251688960;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S4DoLRAAAABQEAAA8AAAAAAAAAAQAgAAAAIgAAAGRycy9kb3ducmV2LnhtbFBL&#10;AQIUABQAAAAIAIdO4kBii5WH/QEAABIEAAAOAAAAAAAAAAEAIAAAACABAABkcnMvZTJvRG9jLnht&#10;bFBLBQYAAAAABgAGAFkBAACPBQAAAAA=&#10;">
              <v:fill on="f" focussize="0,0"/>
              <v:stroke on="f"/>
              <v:imagedata o:title=""/>
              <o:lock v:ext="edit" selection="t" aspectratio="t"/>
            </v:rect>
          </w:pict>
        </mc:Fallback>
      </mc:AlternateContent>
    </w:r>
  </w:p>
  <w:p/>
  <w:p>
    <w:pPr>
      <w:pStyle w:val="23"/>
    </w:pPr>
    <w:r>
      <mc:AlternateContent>
        <mc:Choice Requires="wps">
          <w:drawing>
            <wp:anchor distT="0" distB="0" distL="114300" distR="114300" simplePos="0" relativeHeight="251677696"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0pt;margin-top:0pt;height:50pt;width:50pt;visibility:hidden;z-index:251677696;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uA6C0QAAAAUBAAAPAAAAAAAAAAEAIAAAACIAAABkcnMvZG93bnJldi54bWxQ&#10;SwECFAAUAAAACACHTuJAuM1j0v4BAAAUBAAADgAAAAAAAAABACAAAAAgAQAAZHJzL2Uyb0RvYy54&#10;bWxQSwUGAAAAAAYABgBZAQAAkAUAAAAA&#10;">
              <v:fill on="f" focussize="0,0"/>
              <v:stroke on="f"/>
              <v:imagedata o:title=""/>
              <o:lock v:ext="edit" selection="t" aspectratio="t"/>
            </v:rect>
          </w:pict>
        </mc:Fallback>
      </mc:AlternateContent>
    </w:r>
    <w:r>
      <w:drawing>
        <wp:anchor distT="0" distB="0" distL="114300" distR="114300" simplePos="0" relativeHeight="251682816" behindDoc="1" locked="0" layoutInCell="0" allowOverlap="1">
          <wp:simplePos x="0" y="0"/>
          <wp:positionH relativeFrom="page">
            <wp:align>left</wp:align>
          </wp:positionH>
          <wp:positionV relativeFrom="page">
            <wp:align>top</wp:align>
          </wp:positionV>
          <wp:extent cx="6629400" cy="6125210"/>
          <wp:effectExtent l="0" t="0" r="0" b="8890"/>
          <wp:wrapNone/>
          <wp:docPr id="57" name="Picture 5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ocx4j-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629400" cy="6125210"/>
                  </a:xfrm>
                  <a:prstGeom prst="rect">
                    <a:avLst/>
                  </a:prstGeom>
                  <a:noFill/>
                  <a:ln>
                    <a:noFill/>
                  </a:ln>
                </pic:spPr>
              </pic:pic>
            </a:graphicData>
          </a:graphic>
        </wp:anchor>
      </w:drawing>
    </w:r>
    <w:r>
      <mc:AlternateContent>
        <mc:Choice Requires="wps">
          <w:drawing>
            <wp:anchor distT="0" distB="0" distL="114300" distR="114300" simplePos="0" relativeHeight="25169510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3"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0pt;margin-top:0pt;height:50pt;width:50pt;visibility:hidden;z-index:25169510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uA6C0QAAAAUBAAAPAAAAAAAAAAEAIAAAACIAAABkcnMvZG93bnJldi54bWxQ&#10;SwECFAAUAAAACACHTuJA5poj3/4BAAASBAAADgAAAAAAAAABACAAAAAgAQAAZHJzL2Uyb0RvYy54&#10;bWxQSwUGAAAAAAYABgBZAQAAkAUAAAAA&#10;">
              <v:fill on="f" focussize="0,0"/>
              <v:stroke on="f"/>
              <v:imagedata o:title=""/>
              <o:lock v:ext="edit" selection="t" aspectratio="t"/>
            </v:rect>
          </w:pict>
        </mc:Fallback>
      </mc:AlternateContent>
    </w:r>
  </w:p>
  <w:p/>
  <w:p>
    <w:pPr>
      <w:pStyle w:val="23"/>
    </w:pPr>
    <w:r>
      <mc:AlternateContent>
        <mc:Choice Requires="wps">
          <w:drawing>
            <wp:anchor distT="0" distB="0" distL="114300" distR="114300" simplePos="0" relativeHeight="251678720"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14" o:spid="_x0000_s1026" o:spt="1" style="position:absolute;left:0pt;margin-left:0pt;margin-top:0pt;height:50pt;width:50pt;visibility:hidden;z-index:251678720;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uA6C0QAAAAUBAAAPAAAAAAAAAAEAIAAAACIAAABkcnMvZG93bnJldi54bWxQ&#10;SwECFAAUAAAACACHTuJAa23+g/4BAAAUBAAADgAAAAAAAAABACAAAAAgAQAAZHJzL2Uyb0RvYy54&#10;bWxQSwUGAAAAAAYABgBZAQAAkAUAAAAA&#10;">
              <v:fill on="f" focussize="0,0"/>
              <v:stroke on="f"/>
              <v:imagedata o:title=""/>
              <o:lock v:ext="edit" selection="t" aspectratio="t"/>
            </v:rect>
          </w:pict>
        </mc:Fallback>
      </mc:AlternateContent>
    </w:r>
    <w:r>
      <w:drawing>
        <wp:anchor distT="0" distB="0" distL="114300" distR="114300" simplePos="0" relativeHeight="251681792" behindDoc="1" locked="0" layoutInCell="0" allowOverlap="1">
          <wp:simplePos x="0" y="0"/>
          <wp:positionH relativeFrom="page">
            <wp:align>left</wp:align>
          </wp:positionH>
          <wp:positionV relativeFrom="page">
            <wp:align>top</wp:align>
          </wp:positionV>
          <wp:extent cx="6629400" cy="6125210"/>
          <wp:effectExtent l="0" t="0" r="0" b="8890"/>
          <wp:wrapNone/>
          <wp:docPr id="58" name="Picture 5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ocx4j-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629400" cy="6125210"/>
                  </a:xfrm>
                  <a:prstGeom prst="rect">
                    <a:avLst/>
                  </a:prstGeom>
                  <a:noFill/>
                  <a:ln>
                    <a:noFill/>
                  </a:ln>
                </pic:spPr>
              </pic:pic>
            </a:graphicData>
          </a:graphic>
        </wp:anchor>
      </w:drawing>
    </w:r>
  </w:p>
  <w:p/>
  <w:p>
    <w:pPr>
      <w:pStyle w:val="23"/>
    </w:pPr>
    <w:r>
      <mc:AlternateContent>
        <mc:Choice Requires="wps">
          <w:drawing>
            <wp:anchor distT="0" distB="0" distL="114300" distR="114300" simplePos="0" relativeHeight="25167974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12" o:spid="_x0000_s1026" o:spt="1" style="position:absolute;left:0pt;margin-left:0pt;margin-top:0pt;height:50pt;width:50pt;visibility:hidden;z-index:25167974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uA6C0QAAAAUBAAAPAAAAAAAAAAEAIAAAACIAAABkcnMvZG93bnJldi54bWxQ&#10;SwECFAAUAAAACACHTuJAHoxYcf4BAAAUBAAADgAAAAAAAAABACAAAAAgAQAAZHJzL2Uyb0RvYy54&#10;bWxQSwUGAAAAAAYABgBZAQAAkAUAAAAA&#10;">
              <v:fill on="f" focussize="0,0"/>
              <v:stroke on="f"/>
              <v:imagedata o:title=""/>
              <o:lock v:ext="edit" selection="t" aspectratio="t"/>
            </v:rect>
          </w:pict>
        </mc:Fallback>
      </mc:AlternateContent>
    </w:r>
    <w:r>
      <w:drawing>
        <wp:anchor distT="0" distB="0" distL="114300" distR="114300" simplePos="0" relativeHeight="251681792" behindDoc="1" locked="0" layoutInCell="0" allowOverlap="1">
          <wp:simplePos x="0" y="0"/>
          <wp:positionH relativeFrom="page">
            <wp:align>left</wp:align>
          </wp:positionH>
          <wp:positionV relativeFrom="page">
            <wp:align>top</wp:align>
          </wp:positionV>
          <wp:extent cx="6629400" cy="6125210"/>
          <wp:effectExtent l="0" t="0" r="0" b="8890"/>
          <wp:wrapNone/>
          <wp:docPr id="59" name="Picture 5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ocx4j-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629400" cy="6125210"/>
                  </a:xfrm>
                  <a:prstGeom prst="rect">
                    <a:avLst/>
                  </a:prstGeom>
                  <a:noFill/>
                  <a:ln>
                    <a:noFill/>
                  </a:ln>
                </pic:spPr>
              </pic:pic>
            </a:graphicData>
          </a:graphic>
        </wp:anchor>
      </w:drawing>
    </w:r>
  </w:p>
  <w:p/>
  <w:p>
    <w:pPr>
      <w:pStyle w:val="23"/>
    </w:pPr>
    <w: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86" name="Rectangle 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86" o:spid="_x0000_s1026" o:spt="1" style="position:absolute;left:0pt;margin-left:0pt;margin-top:0pt;height:50pt;width:50pt;visibility:hidden;z-index:25165926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gOgtEAAAAFAQAADwAAAAAAAAABACAAAAAiAAAAZHJzL2Rvd25yZXYueG1s&#10;UEsBAhQAFAAAAAgAh07iQOc5iqP/AQAAFAQAAA4AAAAAAAAAAQAgAAAAIAEAAGRycy9lMm9Eb2Mu&#10;eG1sUEsFBgAAAAAGAAYAWQEAAJEFAAAAAA==&#10;">
              <v:fill on="f" focussize="0,0"/>
              <v:stroke on="f"/>
              <v:imagedata o:title=""/>
              <o:lock v:ext="edit" selection="t" aspectratio="t"/>
            </v:rect>
          </w:pict>
        </mc:Fallback>
      </mc:AlternateContent>
    </w:r>
    <w:r>
      <w:drawing>
        <wp:anchor distT="0" distB="0" distL="114300" distR="114300" simplePos="0" relativeHeight="251672576" behindDoc="1" locked="0" layoutInCell="0" allowOverlap="1">
          <wp:simplePos x="0" y="0"/>
          <wp:positionH relativeFrom="page">
            <wp:align>left</wp:align>
          </wp:positionH>
          <wp:positionV relativeFrom="page">
            <wp:align>top</wp:align>
          </wp:positionV>
          <wp:extent cx="6120765" cy="5655310"/>
          <wp:effectExtent l="0" t="0" r="0" b="2540"/>
          <wp:wrapNone/>
          <wp:docPr id="60" name="Picture 6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ocx4j-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120765" cy="5655310"/>
                  </a:xfrm>
                  <a:prstGeom prst="rect">
                    <a:avLst/>
                  </a:prstGeom>
                </pic:spPr>
              </pic:pic>
            </a:graphicData>
          </a:graphic>
        </wp:anchor>
      </w:drawing>
    </w:r>
    <w:r>
      <mc:AlternateContent>
        <mc:Choice Requires="wps">
          <w:drawing>
            <wp:anchor distT="0" distB="0" distL="114300" distR="114300" simplePos="0" relativeHeight="251680768"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10" o:spid="_x0000_s1026" o:spt="1" style="position:absolute;left:0pt;margin-left:0pt;margin-top:0pt;height:50pt;width:50pt;visibility:hidden;z-index:251680768;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S4DoLRAAAABQEAAA8AAAAAAAAAAQAgAAAAIgAAAGRycy9kb3ducmV2LnhtbFBL&#10;AQIUABQAAAAIAIdO4kDNLMUg/QEAABQEAAAOAAAAAAAAAAEAIAAAACABAABkcnMvZTJvRG9jLnht&#10;bFBLBQYAAAAABgAGAFkBAACPBQAAAAA=&#10;">
              <v:fill on="f" focussize="0,0"/>
              <v:stroke on="f"/>
              <v:imagedata o:title=""/>
              <o:lock v:ext="edit" selection="t" aspectratio="t"/>
            </v:rect>
          </w:pict>
        </mc:Fallback>
      </mc:AlternateContent>
    </w:r>
  </w:p>
  <w:p/>
  <w:p>
    <w:pPr>
      <w:pStyle w:val="23"/>
    </w:pPr>
    <w:r>
      <mc:AlternateContent>
        <mc:Choice Requires="wps">
          <w:drawing>
            <wp:anchor distT="0" distB="0" distL="114300" distR="114300" simplePos="0" relativeHeight="251660288"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84" name="Rectangle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84" o:spid="_x0000_s1026" o:spt="1" style="position:absolute;left:0pt;margin-left:0pt;margin-top:0pt;height:50pt;width:50pt;visibility:hidden;z-index:251660288;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gOgtEAAAAFAQAADwAAAAAAAAABACAAAAAiAAAAZHJzL2Rvd25yZXYueG1s&#10;UEsBAhQAFAAAAAgAh07iQDSZF/L/AQAAFAQAAA4AAAAAAAAAAQAgAAAAIAEAAGRycy9lMm9Eb2Mu&#10;eG1sUEsFBgAAAAAGAAYAWQEAAJEFAAAAAA==&#10;">
              <v:fill on="f" focussize="0,0"/>
              <v:stroke on="f"/>
              <v:imagedata o:title=""/>
              <o:lock v:ext="edit" selection="t" aspectratio="t"/>
            </v:rect>
          </w:pict>
        </mc:Fallback>
      </mc:AlternateContent>
    </w:r>
    <w:r>
      <w:drawing>
        <wp:anchor distT="0" distB="0" distL="114300" distR="114300" simplePos="0" relativeHeight="251671552" behindDoc="1" locked="0" layoutInCell="0" allowOverlap="1">
          <wp:simplePos x="0" y="0"/>
          <wp:positionH relativeFrom="page">
            <wp:align>left</wp:align>
          </wp:positionH>
          <wp:positionV relativeFrom="page">
            <wp:align>top</wp:align>
          </wp:positionV>
          <wp:extent cx="6120765" cy="5655310"/>
          <wp:effectExtent l="0" t="0" r="0" b="2540"/>
          <wp:wrapNone/>
          <wp:docPr id="61" name="Picture 6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ocx4j-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120765" cy="5655310"/>
                  </a:xfrm>
                  <a:prstGeom prst="rect">
                    <a:avLst/>
                  </a:prstGeom>
                </pic:spPr>
              </pic:pic>
            </a:graphicData>
          </a:graphic>
        </wp:anchor>
      </w:drawing>
    </w:r>
  </w:p>
  <w:p/>
  <w:p>
    <w:pPr>
      <w:pStyle w:val="23"/>
    </w:pPr>
    <w: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82" name="Rectangle 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82" o:spid="_x0000_s1026" o:spt="1" style="position:absolute;left:0pt;margin-left:0pt;margin-top:0pt;height:50pt;width:50pt;visibility:hidden;z-index:251661312;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gOgtEAAAAFAQAADwAAAAAAAAABACAAAAAiAAAAZHJzL2Rvd25yZXYueG1s&#10;UEsBAhQAFAAAAAgAh07iQEF4sQD/AQAAFAQAAA4AAAAAAAAAAQAgAAAAIAEAAGRycy9lMm9Eb2Mu&#10;eG1sUEsFBgAAAAAGAAYAWQEAAJEFAAAAAA==&#10;">
              <v:fill on="f" focussize="0,0"/>
              <v:stroke on="f"/>
              <v:imagedata o:title=""/>
              <o:lock v:ext="edit" selection="t" aspectratio="t"/>
            </v:rect>
          </w:pict>
        </mc:Fallback>
      </mc:AlternateContent>
    </w:r>
    <w:r>
      <w:drawing>
        <wp:anchor distT="0" distB="0" distL="114300" distR="114300" simplePos="0" relativeHeight="251670528" behindDoc="1" locked="0" layoutInCell="0" allowOverlap="1">
          <wp:simplePos x="0" y="0"/>
          <wp:positionH relativeFrom="page">
            <wp:align>left</wp:align>
          </wp:positionH>
          <wp:positionV relativeFrom="page">
            <wp:align>top</wp:align>
          </wp:positionV>
          <wp:extent cx="6120765" cy="5655310"/>
          <wp:effectExtent l="0" t="0" r="0" b="2540"/>
          <wp:wrapNone/>
          <wp:docPr id="62" name="Picture 62"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ocx4j-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120765" cy="5655310"/>
                  </a:xfrm>
                  <a:prstGeom prst="rect">
                    <a:avLst/>
                  </a:prstGeom>
                </pic:spPr>
              </pic:pic>
            </a:graphicData>
          </a:graphic>
        </wp:anchor>
      </w:drawing>
    </w:r>
  </w:p>
  <w:p/>
  <w:p>
    <w:pPr>
      <w:pStyle w:val="23"/>
    </w:pPr>
    <w:r>
      <mc:AlternateContent>
        <mc:Choice Requires="wps">
          <w:drawing>
            <wp:anchor distT="0" distB="0" distL="114300" distR="114300" simplePos="0" relativeHeight="25166438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80" name="Rectangle 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80" o:spid="_x0000_s1026" o:spt="1" style="position:absolute;left:0pt;margin-left:0pt;margin-top:0pt;height:50pt;width:50pt;visibility:hidden;z-index:25166438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uA6C0QAAAAUBAAAPAAAAAAAAAAEAIAAAACIAAABkcnMvZG93bnJldi54bWxQ&#10;SwECFAAUAAAACACHTuJAktgsUf4BAAAUBAAADgAAAAAAAAABACAAAAAgAQAAZHJzL2Uyb0RvYy54&#10;bWxQSwUGAAAAAAYABgBZAQAAkAUAAAAA&#10;">
              <v:fill on="f" focussize="0,0"/>
              <v:stroke on="f"/>
              <v:imagedata o:title=""/>
              <o:lock v:ext="edit" selection="t" aspectratio="t"/>
            </v:rect>
          </w:pict>
        </mc:Fallback>
      </mc:AlternateContent>
    </w:r>
    <w: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79" name="Rectangl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79" o:spid="_x0000_s1026" o:spt="1" style="position:absolute;left:0pt;margin-left:0pt;margin-top:0pt;height:50pt;width:50pt;visibility:hidden;z-index:251662336;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gOgtEAAAAFAQAADwAAAAAAAAABACAAAAAiAAAAZHJzL2Rvd25yZXYueG1s&#10;UEsBAhQAFAAAAAgAh07iQNvZKVj/AQAAFAQAAA4AAAAAAAAAAQAgAAAAIAEAAGRycy9lMm9Eb2Mu&#10;eG1sUEsFBgAAAAAGAAYAWQEAAJEFAAAAAA==&#10;">
              <v:fill on="f" focussize="0,0"/>
              <v:stroke on="f"/>
              <v:imagedata o:title=""/>
              <o:lock v:ext="edit" selection="t" aspectratio="t"/>
            </v:rect>
          </w:pict>
        </mc:Fallback>
      </mc:AlternateContent>
    </w:r>
  </w:p>
  <w:p/>
  <w:p>
    <w:pPr>
      <w:pStyle w:val="23"/>
    </w:pPr>
    <w:r>
      <mc:AlternateContent>
        <mc:Choice Requires="wps">
          <w:drawing>
            <wp:anchor distT="0" distB="0" distL="114300" distR="114300" simplePos="0" relativeHeight="251666432"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78" name="Rectangle 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78" o:spid="_x0000_s1026" o:spt="1" style="position:absolute;left:0pt;margin-left:0pt;margin-top:0pt;height:50pt;width:50pt;visibility:hidden;z-index:251666432;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gOgtEAAAAFAQAADwAAAAAAAAABACAAAAAiAAAAZHJzL2Rvd25yZXYueG1s&#10;UEsBAhQAFAAAAAgAh07iQJKKX53/AQAAFAQAAA4AAAAAAAAAAQAgAAAAIAEAAGRycy9lMm9Eb2Mu&#10;eG1sUEsFBgAAAAAGAAYAWQEAAJEFAAAAAA==&#10;">
              <v:fill on="f" focussize="0,0"/>
              <v:stroke on="f"/>
              <v:imagedata o:title=""/>
              <o:lock v:ext="edit" selection="t" aspectratio="t"/>
            </v:rect>
          </w:pict>
        </mc:Fallback>
      </mc:AlternateContent>
    </w:r>
    <w:r>
      <mc:AlternateContent>
        <mc:Choice Requires="wps">
          <w:drawing>
            <wp:anchor distT="0" distB="0" distL="114300" distR="114300" simplePos="0" relativeHeight="251665408"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77" name="Rectangl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77" o:spid="_x0000_s1026" o:spt="1" style="position:absolute;left:0pt;margin-left:0pt;margin-top:0pt;height:50pt;width:50pt;visibility:hidden;z-index:251665408;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gOgtEAAAAFAQAADwAAAAAAAAABACAAAAAiAAAAZHJzL2Rvd25yZXYueG1s&#10;UEsBAhQAFAAAAAgAh07iQKO9iDf/AQAAFAQAAA4AAAAAAAAAAQAgAAAAIAEAAGRycy9lMm9Eb2Mu&#10;eG1sUEsFBgAAAAAGAAYAWQEAAJEFAAAAAA==&#10;">
              <v:fill on="f" focussize="0,0"/>
              <v:stroke on="f"/>
              <v:imagedata o:title=""/>
              <o:lock v:ext="edit" selection="t" aspectratio="t"/>
            </v:rect>
          </w:pict>
        </mc:Fallback>
      </mc:AlternateContent>
    </w:r>
  </w:p>
  <w:p/>
  <w:p>
    <w:pPr>
      <w:pStyle w:val="23"/>
    </w:pPr>
    <w:r>
      <mc:AlternateContent>
        <mc:Choice Requires="wps">
          <w:drawing>
            <wp:anchor distT="0" distB="0" distL="114300" distR="114300" simplePos="0" relativeHeight="251667456"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76" name="Rectangle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76" o:spid="_x0000_s1026" o:spt="1" style="position:absolute;left:0pt;margin-left:0pt;margin-top:0pt;height:50pt;width:50pt;visibility:hidden;z-index:251667456;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gOgtEAAAAFAQAADwAAAAAAAAABACAAAAAiAAAAZHJzL2Rvd25yZXYueG1s&#10;UEsBAhQAFAAAAAgAh07iQOru/vL/AQAAFAQAAA4AAAAAAAAAAQAgAAAAIAEAAGRycy9lMm9Eb2Mu&#10;eG1sUEsFBgAAAAAGAAYAWQEAAJEFAAAAAA==&#10;">
              <v:fill on="f" focussize="0,0"/>
              <v:stroke on="f"/>
              <v:imagedata o:title=""/>
              <o:lock v:ext="edit" selection="t" aspectratio="t"/>
            </v:rect>
          </w:pict>
        </mc:Fallback>
      </mc:AlternateContent>
    </w:r>
  </w:p>
  <w:p/>
  <w:p>
    <w:pPr>
      <w:pStyle w:val="23"/>
    </w:pPr>
    <w:r>
      <mc:AlternateContent>
        <mc:Choice Requires="wps">
          <w:drawing>
            <wp:anchor distT="0" distB="0" distL="114300" distR="114300" simplePos="0" relativeHeight="251668480"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75" name="Rectangl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75" o:spid="_x0000_s1026" o:spt="1" style="position:absolute;left:0pt;margin-left:0pt;margin-top:0pt;height:50pt;width:50pt;visibility:hidden;z-index:251668480;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gOgtEAAAAFAQAADwAAAAAAAAABACAAAAAiAAAAZHJzL2Rvd25yZXYueG1s&#10;UEsBAhQAFAAAAAgAh07iQHAdFWb/AQAAFAQAAA4AAAAAAAAAAQAgAAAAIAEAAGRycy9lMm9Eb2Mu&#10;eG1sUEsFBgAAAAAGAAYAWQEAAJEFAAAAAA==&#10;">
              <v:fill on="f" focussize="0,0"/>
              <v:stroke on="f"/>
              <v:imagedata o:title=""/>
              <o:lock v:ext="edit" selection="t" aspectratio="t"/>
            </v:rect>
          </w:pict>
        </mc:Fallback>
      </mc:AlternateContent>
    </w:r>
  </w:p>
  <w:p/>
  <w:p>
    <w:pPr>
      <w:pStyle w:val="23"/>
    </w:pPr>
    <w:r>
      <mc:AlternateContent>
        <mc:Choice Requires="wps">
          <w:drawing>
            <wp:anchor distT="0" distB="0" distL="114300" distR="114300" simplePos="0" relativeHeight="251673600"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74" name="Rectangle 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74" o:spid="_x0000_s1026" o:spt="1" style="position:absolute;left:0pt;margin-left:0pt;margin-top:0pt;height:50pt;width:50pt;visibility:hidden;z-index:251673600;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gOgtEAAAAFAQAADwAAAAAAAAABACAAAAAiAAAAZHJzL2Rvd25yZXYueG1s&#10;UEsBAhQAFAAAAAgAh07iQDlOY6P/AQAAFAQAAA4AAAAAAAAAAQAgAAAAIAEAAGRycy9lMm9Eb2Mu&#10;eG1sUEsFBgAAAAAGAAYAWQEAAJEFAAAAAA==&#10;">
              <v:fill on="f" focussize="0,0"/>
              <v:stroke on="f"/>
              <v:imagedata o:title=""/>
              <o:lock v:ext="edit" selection="t" aspectratio="t"/>
            </v:rect>
          </w:pict>
        </mc:Fallback>
      </mc:AlternateContent>
    </w:r>
    <w:r>
      <mc:AlternateContent>
        <mc:Choice Requires="wps">
          <w:drawing>
            <wp:anchor distT="0" distB="0" distL="114300" distR="114300" simplePos="0" relativeHeight="25166950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73" name="Rectangl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73" o:spid="_x0000_s1026" o:spt="1" style="position:absolute;left:0pt;margin-left:0pt;margin-top:0pt;height:50pt;width:50pt;visibility:hidden;z-index:25166950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gOgtEAAAAFAQAADwAAAAAAAAABACAAAAAiAAAAZHJzL2Rvd25yZXYueG1s&#10;UEsBAhQAFAAAAAgAh07iQAX8s5T/AQAAFAQAAA4AAAAAAAAAAQAgAAAAIAEAAGRycy9lMm9Eb2Mu&#10;eG1sUEsFBgAAAAAGAAYAWQEAAJEFAAAAAA==&#10;">
              <v:fill on="f" focussize="0,0"/>
              <v:stroke on="f"/>
              <v:imagedata o:title=""/>
              <o:lock v:ext="edit" selection="t" aspectratio="t"/>
            </v:rect>
          </w:pict>
        </mc:Fallback>
      </mc:AlternateContent>
    </w:r>
  </w:p>
  <w:p/>
  <w:p>
    <w:pPr>
      <w:pStyle w:val="23"/>
    </w:pPr>
    <w:r>
      <mc:AlternateContent>
        <mc:Choice Requires="wps">
          <w:drawing>
            <wp:anchor distT="0" distB="0" distL="114300" distR="114300" simplePos="0" relativeHeight="25167462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72" name="Rectangle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72" o:spid="_x0000_s1026" o:spt="1" style="position:absolute;left:0pt;margin-left:0pt;margin-top:0pt;height:50pt;width:50pt;visibility:hidden;z-index:25167462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gOgtEAAAAFAQAADwAAAAAAAAABACAAAAAiAAAAZHJzL2Rvd25yZXYueG1s&#10;UEsBAhQAFAAAAAgAh07iQEyvxVH/AQAAFAQAAA4AAAAAAAAAAQAgAAAAIAEAAGRycy9lMm9Eb2Mu&#10;eG1sUEsFBgAAAAAGAAYAWQEAAJEFAAAAAA==&#10;">
              <v:fill on="f" focussize="0,0"/>
              <v:stroke on="f"/>
              <v:imagedata o:title=""/>
              <o:lock v:ext="edit" selection="t" aspectratio="t"/>
            </v:rect>
          </w:pict>
        </mc:Fallback>
      </mc:AlternateContent>
    </w:r>
    <w:r>
      <mc:AlternateContent>
        <mc:Choice Requires="wps">
          <w:drawing>
            <wp:anchor distT="0" distB="0" distL="114300" distR="114300" simplePos="0" relativeHeight="251663360"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71" name="Rectangl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Rectangle 71" o:spid="_x0000_s1026" o:spt="1" style="position:absolute;left:0pt;margin-left:0pt;margin-top:0pt;height:50pt;width:50pt;visibility:hidden;z-index:251663360;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gOgtEAAAAFAQAADwAAAAAAAAABACAAAAAiAAAAZHJzL2Rvd25yZXYueG1s&#10;UEsBAhQAFAAAAAgAh07iQNZcLsX/AQAAFAQAAA4AAAAAAAAAAQAgAAAAIAEAAGRycy9lMm9Eb2Mu&#10;eG1sUEsFBgAAAAAGAAYAWQEAAJEFAAAAAA==&#10;">
              <v:fill on="f" focussize="0,0"/>
              <v:stroke on="f"/>
              <v:imagedata o:title=""/>
              <o:lock v:ext="edit" selection="t" aspectratio="t"/>
            </v:rect>
          </w:pict>
        </mc:Fallback>
      </mc:AlternateContent>
    </w:r>
  </w:p>
  <w:p/>
  <w:p>
    <w:pPr>
      <w:pStyle w:val="23"/>
    </w:pPr>
    <w:r>
      <mc:AlternateContent>
        <mc:Choice Requires="wps">
          <w:drawing>
            <wp:anchor distT="0" distB="0" distL="114300" distR="114300" simplePos="0" relativeHeight="251675648"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70" name="Rectangle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Rectangle 70" o:spid="_x0000_s1026" o:spt="1" style="position:absolute;left:0pt;margin-left:0pt;margin-top:0pt;height:50pt;width:50pt;visibility:hidden;z-index:251675648;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S4DoLRAAAABQEAAA8AAAAAAAAAAQAgAAAAIgAAAGRycy9kb3du&#10;cmV2LnhtbFBLAQIUABQAAAAIAIdO4kB55EUBBgIAACwEAAAOAAAAAAAAAAEAIAAAACABAABkcnMv&#10;ZTJvRG9jLnhtbFBLBQYAAAAABgAGAFkBAACYBQAAAAA=&#10;">
              <v:fill on="f" focussize="0,0"/>
              <v:stroke on="f"/>
              <v:imagedata o:title=""/>
              <o:lock v:ext="edit" selection="t" aspectratio="t"/>
            </v:rect>
          </w:pict>
        </mc:Fallback>
      </mc:AlternateContent>
    </w:r>
  </w:p>
  <w:p/>
  <w:p>
    <w:pPr>
      <w:pStyle w:val="23"/>
    </w:pPr>
    <w:r>
      <mc:AlternateContent>
        <mc:Choice Requires="wps">
          <w:drawing>
            <wp:anchor distT="0" distB="0" distL="114300" distR="114300" simplePos="0" relativeHeight="251676672"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69" name="Rectangl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Rectangle 69" o:spid="_x0000_s1026" o:spt="1" style="position:absolute;left:0pt;margin-left:0pt;margin-top:0pt;height:50pt;width:50pt;visibility:hidden;z-index:251676672;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uA6C0QAAAAUBAAAPAAAAAAAAAAEAIAAAACIAAABkcnMvZG93&#10;bnJldi54bWxQSwECFAAUAAAACACHTuJArVY53AcCAAAsBAAADgAAAAAAAAABACAAAAAgAQAAZHJz&#10;L2Uyb0RvYy54bWxQSwUGAAAAAAYABgBZAQAAmQUAAAAA&#10;">
              <v:fill on="f" focussize="0,0"/>
              <v:stroke on="f"/>
              <v:imagedata o:title=""/>
              <o:lock v:ext="edit" selection="t" aspectratio="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lang w:val="de-DE"/>
      </w:rPr>
      <w:t>EC-76/</w:t>
    </w:r>
    <w:bookmarkStart w:id="91" w:name="OLE_LINK1"/>
    <w:r>
      <w:rPr>
        <w:rFonts w:hint="eastAsia" w:eastAsia="宋体"/>
        <w:lang w:val="en-US" w:eastAsia="zh-CN"/>
      </w:rPr>
      <w:t>文件</w:t>
    </w:r>
    <w:r>
      <w:rPr>
        <w:lang w:val="de-DE"/>
      </w:rPr>
      <w:t xml:space="preserve">3.2(3), </w:t>
    </w:r>
    <w:r>
      <w:rPr>
        <w:rFonts w:hint="eastAsia" w:eastAsia="宋体"/>
        <w:lang w:val="en-US" w:eastAsia="zh-CN"/>
      </w:rPr>
      <w:t>附件</w:t>
    </w:r>
    <w:bookmarkEnd w:id="91"/>
    <w:r>
      <w:rPr>
        <w:lang w:val="de-DE"/>
      </w:rPr>
      <w:t xml:space="preserve">, DRAFT 1, p. </w:t>
    </w:r>
    <w:r>
      <w:rPr>
        <w:rStyle w:val="39"/>
      </w:rPr>
      <w:fldChar w:fldCharType="begin"/>
    </w:r>
    <w:r>
      <w:rPr>
        <w:rStyle w:val="39"/>
        <w:lang w:val="de-DE"/>
      </w:rPr>
      <w:instrText xml:space="preserve"> PAGE </w:instrText>
    </w:r>
    <w:r>
      <w:rPr>
        <w:rStyle w:val="39"/>
      </w:rPr>
      <w:fldChar w:fldCharType="separate"/>
    </w:r>
    <w:r>
      <w:rPr>
        <w:rStyle w:val="39"/>
      </w:rPr>
      <w:t>5</w:t>
    </w:r>
    <w:r>
      <w:rPr>
        <w:rStyle w:val="39"/>
      </w:rPr>
      <w:fldChar w:fldCharType="end"/>
    </w:r>
    <w:r>
      <w:pict>
        <v:shape id="_x0000_s4097" o:spid="_x0000_s4097" o:spt="75" type="#_x0000_t75" style="position:absolute;left:0pt;margin-left:0pt;margin-top:0pt;height:50pt;width:50pt;visibility:hidden;z-index:251698176;mso-width-relative:page;mso-height-relative:page;" filled="f" o:preferrelative="t" stroked="f" coordsize="21600,21600">
          <v:path/>
          <v:fill on="f" focussize="0,0"/>
          <v:stroke on="f" joinstyle="miter"/>
          <v:imagedata o:title=""/>
          <o:lock v:ext="edit" selection="t" aspectratio="t"/>
        </v:shape>
      </w:pict>
    </w:r>
  </w:p>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570B83"/>
    <w:multiLevelType w:val="multilevel"/>
    <w:tmpl w:val="01570B83"/>
    <w:lvl w:ilvl="0" w:tentative="0">
      <w:start w:val="1"/>
      <w:numFmt w:val="decimal"/>
      <w:lvlText w:val="%1."/>
      <w:lvlJc w:val="left"/>
      <w:pPr>
        <w:ind w:left="360" w:hanging="360"/>
      </w:pPr>
      <w:rPr>
        <w:rFonts w:hint="default" w:ascii="Verdana" w:hAnsi="Verdana" w:cs="Verdana"/>
      </w:rPr>
    </w:lvl>
    <w:lvl w:ilvl="1" w:tentative="0">
      <w:start w:val="1"/>
      <w:numFmt w:val="decimal"/>
      <w:lvlText w:val="%1.%2."/>
      <w:lvlJc w:val="left"/>
      <w:pPr>
        <w:ind w:left="1080" w:hanging="360"/>
      </w:pPr>
    </w:lvl>
    <w:lvl w:ilvl="2" w:tentative="0">
      <w:start w:val="1"/>
      <w:numFmt w:val="decimal"/>
      <w:lvlText w:val="%1.%2.%3."/>
      <w:lvlJc w:val="left"/>
      <w:pPr>
        <w:ind w:left="1800" w:hanging="180"/>
      </w:pPr>
    </w:lvl>
    <w:lvl w:ilvl="3" w:tentative="0">
      <w:start w:val="1"/>
      <w:numFmt w:val="decimal"/>
      <w:lvlText w:val="%1.%2.%3.%4."/>
      <w:lvlJc w:val="left"/>
      <w:pPr>
        <w:ind w:left="2520" w:hanging="360"/>
      </w:pPr>
    </w:lvl>
    <w:lvl w:ilvl="4" w:tentative="0">
      <w:start w:val="1"/>
      <w:numFmt w:val="decimal"/>
      <w:lvlText w:val="%1.%2.%3.%4.%5."/>
      <w:lvlJc w:val="left"/>
      <w:pPr>
        <w:ind w:left="3240" w:hanging="360"/>
      </w:pPr>
    </w:lvl>
    <w:lvl w:ilvl="5" w:tentative="0">
      <w:start w:val="1"/>
      <w:numFmt w:val="decimal"/>
      <w:lvlText w:val="%1.%2.%3.%4.%5.%6."/>
      <w:lvlJc w:val="left"/>
      <w:pPr>
        <w:ind w:left="3960" w:hanging="180"/>
      </w:pPr>
    </w:lvl>
    <w:lvl w:ilvl="6" w:tentative="0">
      <w:start w:val="1"/>
      <w:numFmt w:val="decimal"/>
      <w:lvlText w:val="%1.%2.%3.%4.%5.%6.%7."/>
      <w:lvlJc w:val="left"/>
      <w:pPr>
        <w:ind w:left="4680" w:hanging="360"/>
      </w:pPr>
    </w:lvl>
    <w:lvl w:ilvl="7" w:tentative="0">
      <w:start w:val="1"/>
      <w:numFmt w:val="decimal"/>
      <w:lvlText w:val="%1.%2.%3.%4.%5.%6.%7.%8."/>
      <w:lvlJc w:val="left"/>
      <w:pPr>
        <w:ind w:left="5400" w:hanging="360"/>
      </w:pPr>
    </w:lvl>
    <w:lvl w:ilvl="8" w:tentative="0">
      <w:start w:val="1"/>
      <w:numFmt w:val="decimal"/>
      <w:lvlText w:val="%1.%2.%3.%4.%5.%6.%7.%8.%9."/>
      <w:lvlJc w:val="left"/>
      <w:pPr>
        <w:ind w:left="6120" w:hanging="180"/>
      </w:pPr>
    </w:lvl>
  </w:abstractNum>
  <w:abstractNum w:abstractNumId="1">
    <w:nsid w:val="0B852262"/>
    <w:multiLevelType w:val="multilevel"/>
    <w:tmpl w:val="0B852262"/>
    <w:lvl w:ilvl="0" w:tentative="0">
      <w:start w:val="1"/>
      <w:numFmt w:val="decimal"/>
      <w:lvlText w:val="%1."/>
      <w:lvlJc w:val="left"/>
      <w:pPr>
        <w:ind w:left="720" w:hanging="360"/>
      </w:pPr>
      <w:rPr>
        <w:rFonts w:hint="default" w:ascii="Verdana" w:hAnsi="Verdan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C8F6A3E"/>
    <w:multiLevelType w:val="multilevel"/>
    <w:tmpl w:val="0C8F6A3E"/>
    <w:lvl w:ilvl="0" w:tentative="0">
      <w:start w:val="1"/>
      <w:numFmt w:val="lowerLetter"/>
      <w:lvlText w:val="(%1)"/>
      <w:lvlJc w:val="left"/>
      <w:pPr>
        <w:ind w:left="720" w:hanging="360"/>
      </w:pPr>
      <w:rPr>
        <w:rFonts w:hint="default" w:ascii="Verdana" w:hAnsi="Verdana" w:cs="Verdan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F3236AF"/>
    <w:multiLevelType w:val="multilevel"/>
    <w:tmpl w:val="0F3236AF"/>
    <w:lvl w:ilvl="0" w:tentative="0">
      <w:start w:val="1"/>
      <w:numFmt w:val="decimal"/>
      <w:lvlText w:val="%1."/>
      <w:lvlJc w:val="left"/>
      <w:pPr>
        <w:ind w:left="720" w:hanging="360"/>
      </w:pPr>
      <w:rPr>
        <w:rFonts w:hint="default" w:ascii="Verdana" w:hAnsi="Verdana" w:cs="Verdan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61C6555"/>
    <w:multiLevelType w:val="multilevel"/>
    <w:tmpl w:val="161C6555"/>
    <w:lvl w:ilvl="0" w:tentative="0">
      <w:start w:val="1"/>
      <w:numFmt w:val="decimal"/>
      <w:lvlText w:val="%1."/>
      <w:lvlJc w:val="left"/>
      <w:pPr>
        <w:ind w:left="360" w:hanging="360"/>
      </w:pPr>
      <w:rPr>
        <w:rFonts w:hint="default" w:ascii="Verdana" w:hAnsi="Verdana" w:cs="Verdan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18023A8F"/>
    <w:multiLevelType w:val="multilevel"/>
    <w:tmpl w:val="18023A8F"/>
    <w:lvl w:ilvl="0" w:tentative="0">
      <w:start w:val="1"/>
      <w:numFmt w:val="decimal"/>
      <w:lvlText w:val="%1."/>
      <w:lvlJc w:val="left"/>
      <w:pPr>
        <w:ind w:left="360" w:hanging="360"/>
      </w:pPr>
      <w:rPr>
        <w:rFonts w:hint="default" w:ascii="Verdana" w:hAnsi="Verdan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
    <w:nsid w:val="1BB353FD"/>
    <w:multiLevelType w:val="multilevel"/>
    <w:tmpl w:val="1BB353FD"/>
    <w:lvl w:ilvl="0" w:tentative="0">
      <w:start w:val="1"/>
      <w:numFmt w:val="decimal"/>
      <w:lvlText w:val="%1."/>
      <w:lvlJc w:val="left"/>
      <w:pPr>
        <w:ind w:left="360" w:hanging="360"/>
      </w:pPr>
      <w:rPr>
        <w:rFonts w:hint="default" w:ascii="Verdana" w:hAnsi="Verdana" w:cs="Verdan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
    <w:nsid w:val="1F4F62AA"/>
    <w:multiLevelType w:val="multilevel"/>
    <w:tmpl w:val="1F4F62AA"/>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8">
    <w:nsid w:val="220D7C09"/>
    <w:multiLevelType w:val="multilevel"/>
    <w:tmpl w:val="220D7C09"/>
    <w:lvl w:ilvl="0" w:tentative="0">
      <w:start w:val="1"/>
      <w:numFmt w:val="decimal"/>
      <w:lvlText w:val="%1."/>
      <w:lvlJc w:val="left"/>
      <w:pPr>
        <w:ind w:left="360" w:hanging="360"/>
      </w:pPr>
      <w:rPr>
        <w:rFonts w:hint="default" w:ascii="Verdana" w:hAnsi="Verdana" w:cs="Verdan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
    <w:nsid w:val="24D251A8"/>
    <w:multiLevelType w:val="multilevel"/>
    <w:tmpl w:val="24D251A8"/>
    <w:lvl w:ilvl="0" w:tentative="0">
      <w:start w:val="1"/>
      <w:numFmt w:val="bullet"/>
      <w:lvlText w:val=""/>
      <w:lvlJc w:val="left"/>
      <w:pPr>
        <w:ind w:left="-414" w:hanging="360"/>
      </w:pPr>
      <w:rPr>
        <w:rFonts w:hint="default" w:ascii="Symbol" w:hAnsi="Symbol"/>
      </w:rPr>
    </w:lvl>
    <w:lvl w:ilvl="1" w:tentative="0">
      <w:start w:val="1"/>
      <w:numFmt w:val="bullet"/>
      <w:lvlText w:val="o"/>
      <w:lvlJc w:val="left"/>
      <w:pPr>
        <w:ind w:left="306" w:hanging="360"/>
      </w:pPr>
      <w:rPr>
        <w:rFonts w:hint="default" w:ascii="Courier New" w:hAnsi="Courier New"/>
      </w:rPr>
    </w:lvl>
    <w:lvl w:ilvl="2" w:tentative="0">
      <w:start w:val="1"/>
      <w:numFmt w:val="bullet"/>
      <w:lvlText w:val=""/>
      <w:lvlJc w:val="left"/>
      <w:pPr>
        <w:ind w:left="1026" w:hanging="360"/>
      </w:pPr>
      <w:rPr>
        <w:rFonts w:hint="default" w:ascii="Wingdings" w:hAnsi="Wingdings"/>
      </w:rPr>
    </w:lvl>
    <w:lvl w:ilvl="3" w:tentative="0">
      <w:start w:val="1"/>
      <w:numFmt w:val="bullet"/>
      <w:lvlText w:val=""/>
      <w:lvlJc w:val="left"/>
      <w:pPr>
        <w:ind w:left="1746" w:hanging="360"/>
      </w:pPr>
      <w:rPr>
        <w:rFonts w:hint="default" w:ascii="Symbol" w:hAnsi="Symbol"/>
      </w:rPr>
    </w:lvl>
    <w:lvl w:ilvl="4" w:tentative="0">
      <w:start w:val="1"/>
      <w:numFmt w:val="bullet"/>
      <w:lvlText w:val="o"/>
      <w:lvlJc w:val="left"/>
      <w:pPr>
        <w:ind w:left="2466" w:hanging="360"/>
      </w:pPr>
      <w:rPr>
        <w:rFonts w:hint="default" w:ascii="Courier New" w:hAnsi="Courier New"/>
      </w:rPr>
    </w:lvl>
    <w:lvl w:ilvl="5" w:tentative="0">
      <w:start w:val="1"/>
      <w:numFmt w:val="bullet"/>
      <w:lvlText w:val=""/>
      <w:lvlJc w:val="left"/>
      <w:pPr>
        <w:ind w:left="3186" w:hanging="360"/>
      </w:pPr>
      <w:rPr>
        <w:rFonts w:hint="default" w:ascii="Wingdings" w:hAnsi="Wingdings"/>
      </w:rPr>
    </w:lvl>
    <w:lvl w:ilvl="6" w:tentative="0">
      <w:start w:val="1"/>
      <w:numFmt w:val="bullet"/>
      <w:lvlText w:val=""/>
      <w:lvlJc w:val="left"/>
      <w:pPr>
        <w:ind w:left="3906" w:hanging="360"/>
      </w:pPr>
      <w:rPr>
        <w:rFonts w:hint="default" w:ascii="Symbol" w:hAnsi="Symbol"/>
      </w:rPr>
    </w:lvl>
    <w:lvl w:ilvl="7" w:tentative="0">
      <w:start w:val="1"/>
      <w:numFmt w:val="bullet"/>
      <w:lvlText w:val="o"/>
      <w:lvlJc w:val="left"/>
      <w:pPr>
        <w:ind w:left="4626" w:hanging="360"/>
      </w:pPr>
      <w:rPr>
        <w:rFonts w:hint="default" w:ascii="Courier New" w:hAnsi="Courier New"/>
      </w:rPr>
    </w:lvl>
    <w:lvl w:ilvl="8" w:tentative="0">
      <w:start w:val="1"/>
      <w:numFmt w:val="bullet"/>
      <w:lvlText w:val=""/>
      <w:lvlJc w:val="left"/>
      <w:pPr>
        <w:ind w:left="5346" w:hanging="360"/>
      </w:pPr>
      <w:rPr>
        <w:rFonts w:hint="default" w:ascii="Wingdings" w:hAnsi="Wingdings"/>
      </w:rPr>
    </w:lvl>
  </w:abstractNum>
  <w:abstractNum w:abstractNumId="10">
    <w:nsid w:val="262C0DE5"/>
    <w:multiLevelType w:val="multilevel"/>
    <w:tmpl w:val="262C0DE5"/>
    <w:lvl w:ilvl="0" w:tentative="0">
      <w:start w:val="1"/>
      <w:numFmt w:val="decimal"/>
      <w:lvlText w:val="%1."/>
      <w:lvlJc w:val="left"/>
      <w:pPr>
        <w:ind w:left="360" w:hanging="360"/>
      </w:pPr>
      <w:rPr>
        <w:rFonts w:hint="default" w:ascii="Verdana" w:hAnsi="Verdan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
    <w:nsid w:val="297D6085"/>
    <w:multiLevelType w:val="multilevel"/>
    <w:tmpl w:val="297D6085"/>
    <w:lvl w:ilvl="0" w:tentative="0">
      <w:start w:val="1"/>
      <w:numFmt w:val="decimal"/>
      <w:lvlText w:val="%1."/>
      <w:lvlJc w:val="left"/>
      <w:pPr>
        <w:ind w:left="360" w:hanging="360"/>
      </w:pPr>
      <w:rPr>
        <w:rFonts w:hint="default" w:ascii="Verdana" w:hAnsi="Verdana" w:cs="Verdan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
    <w:nsid w:val="2C591515"/>
    <w:multiLevelType w:val="multilevel"/>
    <w:tmpl w:val="2C591515"/>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3">
    <w:nsid w:val="2CF73278"/>
    <w:multiLevelType w:val="multilevel"/>
    <w:tmpl w:val="2CF73278"/>
    <w:lvl w:ilvl="0" w:tentative="0">
      <w:start w:val="1"/>
      <w:numFmt w:val="lowerLetter"/>
      <w:lvlText w:val="(%1)"/>
      <w:lvlJc w:val="left"/>
      <w:pPr>
        <w:ind w:left="720" w:hanging="360"/>
      </w:pPr>
      <w:rPr>
        <w:rFonts w:hint="default" w:ascii="Verdana" w:hAnsi="Verdana" w:cs="Verdan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31AC4BC6"/>
    <w:multiLevelType w:val="multilevel"/>
    <w:tmpl w:val="31AC4BC6"/>
    <w:lvl w:ilvl="0" w:tentative="0">
      <w:start w:val="1"/>
      <w:numFmt w:val="lowerLetter"/>
      <w:lvlText w:val="(%1)"/>
      <w:lvlJc w:val="left"/>
      <w:pPr>
        <w:ind w:left="360" w:hanging="360"/>
      </w:pPr>
      <w:rPr>
        <w:rFonts w:hint="default" w:ascii="Verdana" w:hAnsi="Verdana" w:cs="Verdan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4283553B"/>
    <w:multiLevelType w:val="multilevel"/>
    <w:tmpl w:val="428355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6">
    <w:nsid w:val="44C617AB"/>
    <w:multiLevelType w:val="multilevel"/>
    <w:tmpl w:val="44C617AB"/>
    <w:lvl w:ilvl="0" w:tentative="0">
      <w:start w:val="1"/>
      <w:numFmt w:val="lowerLetter"/>
      <w:lvlText w:val="(%1)"/>
      <w:lvlJc w:val="left"/>
      <w:pPr>
        <w:ind w:left="720" w:hanging="360"/>
      </w:pPr>
      <w:rPr>
        <w:rFonts w:hint="default" w:ascii="Verdana" w:hAnsi="Verdana" w:cs="Verdan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4693410E"/>
    <w:multiLevelType w:val="multilevel"/>
    <w:tmpl w:val="4693410E"/>
    <w:lvl w:ilvl="0" w:tentative="0">
      <w:start w:val="1"/>
      <w:numFmt w:val="bullet"/>
      <w:lvlText w:val=""/>
      <w:lvlJc w:val="left"/>
      <w:pPr>
        <w:ind w:left="-414" w:hanging="360"/>
      </w:pPr>
      <w:rPr>
        <w:rFonts w:hint="default" w:ascii="Symbol" w:hAnsi="Symbol"/>
      </w:rPr>
    </w:lvl>
    <w:lvl w:ilvl="1" w:tentative="0">
      <w:start w:val="1"/>
      <w:numFmt w:val="bullet"/>
      <w:lvlText w:val="o"/>
      <w:lvlJc w:val="left"/>
      <w:pPr>
        <w:ind w:left="306" w:hanging="360"/>
      </w:pPr>
      <w:rPr>
        <w:rFonts w:hint="default" w:ascii="Courier New" w:hAnsi="Courier New" w:cs="Courier New"/>
      </w:rPr>
    </w:lvl>
    <w:lvl w:ilvl="2" w:tentative="0">
      <w:start w:val="1"/>
      <w:numFmt w:val="bullet"/>
      <w:lvlText w:val=""/>
      <w:lvlJc w:val="left"/>
      <w:pPr>
        <w:ind w:left="1026" w:hanging="360"/>
      </w:pPr>
      <w:rPr>
        <w:rFonts w:hint="default" w:ascii="Wingdings" w:hAnsi="Wingdings"/>
      </w:rPr>
    </w:lvl>
    <w:lvl w:ilvl="3" w:tentative="0">
      <w:start w:val="1"/>
      <w:numFmt w:val="bullet"/>
      <w:lvlText w:val=""/>
      <w:lvlJc w:val="left"/>
      <w:pPr>
        <w:ind w:left="1746" w:hanging="360"/>
      </w:pPr>
      <w:rPr>
        <w:rFonts w:hint="default" w:ascii="Symbol" w:hAnsi="Symbol"/>
      </w:rPr>
    </w:lvl>
    <w:lvl w:ilvl="4" w:tentative="0">
      <w:start w:val="1"/>
      <w:numFmt w:val="bullet"/>
      <w:lvlText w:val="o"/>
      <w:lvlJc w:val="left"/>
      <w:pPr>
        <w:ind w:left="2466" w:hanging="360"/>
      </w:pPr>
      <w:rPr>
        <w:rFonts w:hint="default" w:ascii="Courier New" w:hAnsi="Courier New" w:cs="Courier New"/>
      </w:rPr>
    </w:lvl>
    <w:lvl w:ilvl="5" w:tentative="0">
      <w:start w:val="1"/>
      <w:numFmt w:val="bullet"/>
      <w:lvlText w:val=""/>
      <w:lvlJc w:val="left"/>
      <w:pPr>
        <w:ind w:left="3186" w:hanging="360"/>
      </w:pPr>
      <w:rPr>
        <w:rFonts w:hint="default" w:ascii="Wingdings" w:hAnsi="Wingdings"/>
      </w:rPr>
    </w:lvl>
    <w:lvl w:ilvl="6" w:tentative="0">
      <w:start w:val="1"/>
      <w:numFmt w:val="bullet"/>
      <w:lvlText w:val=""/>
      <w:lvlJc w:val="left"/>
      <w:pPr>
        <w:ind w:left="3906" w:hanging="360"/>
      </w:pPr>
      <w:rPr>
        <w:rFonts w:hint="default" w:ascii="Symbol" w:hAnsi="Symbol"/>
      </w:rPr>
    </w:lvl>
    <w:lvl w:ilvl="7" w:tentative="0">
      <w:start w:val="1"/>
      <w:numFmt w:val="bullet"/>
      <w:lvlText w:val="o"/>
      <w:lvlJc w:val="left"/>
      <w:pPr>
        <w:ind w:left="4626" w:hanging="360"/>
      </w:pPr>
      <w:rPr>
        <w:rFonts w:hint="default" w:ascii="Courier New" w:hAnsi="Courier New" w:cs="Courier New"/>
      </w:rPr>
    </w:lvl>
    <w:lvl w:ilvl="8" w:tentative="0">
      <w:start w:val="1"/>
      <w:numFmt w:val="bullet"/>
      <w:lvlText w:val=""/>
      <w:lvlJc w:val="left"/>
      <w:pPr>
        <w:ind w:left="5346" w:hanging="360"/>
      </w:pPr>
      <w:rPr>
        <w:rFonts w:hint="default" w:ascii="Wingdings" w:hAnsi="Wingdings"/>
      </w:rPr>
    </w:lvl>
  </w:abstractNum>
  <w:abstractNum w:abstractNumId="18">
    <w:nsid w:val="51A278E7"/>
    <w:multiLevelType w:val="multilevel"/>
    <w:tmpl w:val="51A278E7"/>
    <w:lvl w:ilvl="0" w:tentative="0">
      <w:start w:val="1"/>
      <w:numFmt w:val="bullet"/>
      <w:lvlText w:val=""/>
      <w:lvlJc w:val="left"/>
      <w:pPr>
        <w:ind w:left="360" w:hanging="360"/>
      </w:pPr>
      <w:rPr>
        <w:rFonts w:hint="default" w:ascii="Symbol" w:hAnsi="Symbol"/>
      </w:rPr>
    </w:lvl>
    <w:lvl w:ilvl="1" w:tentative="0">
      <w:start w:val="0"/>
      <w:numFmt w:val="bullet"/>
      <w:lvlText w:val="•"/>
      <w:lvlJc w:val="left"/>
      <w:pPr>
        <w:ind w:left="1840" w:hanging="1120"/>
      </w:pPr>
      <w:rPr>
        <w:rFonts w:hint="default" w:ascii="Verdana" w:hAnsi="Verdana" w:eastAsiaTheme="minorHAnsi" w:cstheme="majorBidi"/>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9">
    <w:nsid w:val="55446AFF"/>
    <w:multiLevelType w:val="multilevel"/>
    <w:tmpl w:val="55446AF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20">
    <w:nsid w:val="57161C75"/>
    <w:multiLevelType w:val="multilevel"/>
    <w:tmpl w:val="57161C75"/>
    <w:lvl w:ilvl="0" w:tentative="0">
      <w:start w:val="1"/>
      <w:numFmt w:val="decimal"/>
      <w:lvlText w:val="%1."/>
      <w:lvlJc w:val="left"/>
      <w:pPr>
        <w:ind w:left="360" w:hanging="360"/>
      </w:pPr>
      <w:rPr>
        <w:rFonts w:ascii="Calibri" w:hAnsi="Calibri" w:eastAsia="Calibri" w:cs="Calibri"/>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1">
    <w:nsid w:val="59BB2E3E"/>
    <w:multiLevelType w:val="multilevel"/>
    <w:tmpl w:val="59BB2E3E"/>
    <w:lvl w:ilvl="0" w:tentative="0">
      <w:start w:val="1"/>
      <w:numFmt w:val="lowerLetter"/>
      <w:lvlText w:val="(%1)"/>
      <w:lvlJc w:val="left"/>
      <w:pPr>
        <w:ind w:left="720" w:hanging="360"/>
      </w:pPr>
      <w:rPr>
        <w:rFonts w:hint="default" w:ascii="Verdana" w:hAnsi="Verdana" w:cs="Verdan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5ADC7950"/>
    <w:multiLevelType w:val="multilevel"/>
    <w:tmpl w:val="5ADC795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3">
    <w:nsid w:val="5BEC32FF"/>
    <w:multiLevelType w:val="multilevel"/>
    <w:tmpl w:val="5BEC32FF"/>
    <w:lvl w:ilvl="0" w:tentative="0">
      <w:start w:val="1"/>
      <w:numFmt w:val="decimal"/>
      <w:lvlText w:val="%1."/>
      <w:lvlJc w:val="left"/>
      <w:pPr>
        <w:ind w:left="720" w:hanging="360"/>
      </w:pPr>
      <w:rPr>
        <w:rFonts w:hint="default" w:ascii="Verdana" w:hAnsi="Verdana" w:cs="Verdana"/>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65BE696E"/>
    <w:multiLevelType w:val="multilevel"/>
    <w:tmpl w:val="65BE696E"/>
    <w:lvl w:ilvl="0" w:tentative="0">
      <w:start w:val="1"/>
      <w:numFmt w:val="lowerLetter"/>
      <w:lvlText w:val="(%1)"/>
      <w:lvlJc w:val="left"/>
      <w:pPr>
        <w:ind w:left="720" w:hanging="360"/>
      </w:pPr>
      <w:rPr>
        <w:rFonts w:hint="default" w:ascii="Verdana" w:hAnsi="Verdan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6A493B20"/>
    <w:multiLevelType w:val="multilevel"/>
    <w:tmpl w:val="6A493B20"/>
    <w:lvl w:ilvl="0" w:tentative="0">
      <w:start w:val="1"/>
      <w:numFmt w:val="lowerLetter"/>
      <w:lvlText w:val="(%1)"/>
      <w:lvlJc w:val="left"/>
      <w:pPr>
        <w:ind w:left="720" w:hanging="360"/>
      </w:pPr>
      <w:rPr>
        <w:rFonts w:hint="default" w:ascii="Verdana" w:hAnsi="Verdana" w:cs="Verdan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6B3F13A1"/>
    <w:multiLevelType w:val="multilevel"/>
    <w:tmpl w:val="6B3F13A1"/>
    <w:lvl w:ilvl="0" w:tentative="0">
      <w:start w:val="1"/>
      <w:numFmt w:val="lowerLetter"/>
      <w:lvlText w:val="(%1)"/>
      <w:lvlJc w:val="left"/>
      <w:pPr>
        <w:ind w:left="720" w:hanging="360"/>
      </w:pPr>
      <w:rPr>
        <w:rFonts w:hint="default" w:ascii="Verdana" w:hAnsi="Verdana" w:cs="Verdan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6D6F033B"/>
    <w:multiLevelType w:val="multilevel"/>
    <w:tmpl w:val="6D6F033B"/>
    <w:lvl w:ilvl="0" w:tentative="0">
      <w:start w:val="1"/>
      <w:numFmt w:val="lowerLetter"/>
      <w:lvlText w:val="(%1)"/>
      <w:lvlJc w:val="left"/>
      <w:pPr>
        <w:ind w:left="370" w:hanging="370"/>
      </w:pPr>
      <w:rPr>
        <w:rFonts w:hint="default" w:ascii="Verdana" w:hAnsi="Verdana" w:cs="Verdan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8">
    <w:nsid w:val="711162CB"/>
    <w:multiLevelType w:val="multilevel"/>
    <w:tmpl w:val="711162CB"/>
    <w:lvl w:ilvl="0" w:tentative="0">
      <w:start w:val="1"/>
      <w:numFmt w:val="decimal"/>
      <w:lvlText w:val="%1."/>
      <w:lvlJc w:val="left"/>
      <w:pPr>
        <w:ind w:left="360" w:hanging="360"/>
      </w:pPr>
      <w:rPr>
        <w:rFonts w:hint="default" w:ascii="Verdana" w:hAnsi="Verdan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9">
    <w:nsid w:val="715B7ED9"/>
    <w:multiLevelType w:val="multilevel"/>
    <w:tmpl w:val="715B7ED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0">
    <w:nsid w:val="724A5C79"/>
    <w:multiLevelType w:val="multilevel"/>
    <w:tmpl w:val="724A5C79"/>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1">
    <w:nsid w:val="725025B0"/>
    <w:multiLevelType w:val="multilevel"/>
    <w:tmpl w:val="725025B0"/>
    <w:lvl w:ilvl="0" w:tentative="0">
      <w:start w:val="1"/>
      <w:numFmt w:val="decimal"/>
      <w:lvlText w:val="%1."/>
      <w:lvlJc w:val="left"/>
      <w:pPr>
        <w:ind w:left="360" w:hanging="360"/>
      </w:pPr>
      <w:rPr>
        <w:rFonts w:hint="default" w:ascii="Verdana" w:hAnsi="Verdana" w:cs="Verdan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2">
    <w:nsid w:val="774E4A40"/>
    <w:multiLevelType w:val="multilevel"/>
    <w:tmpl w:val="774E4A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3">
    <w:nsid w:val="7B732C8F"/>
    <w:multiLevelType w:val="multilevel"/>
    <w:tmpl w:val="7B732C8F"/>
    <w:lvl w:ilvl="0" w:tentative="0">
      <w:start w:val="1"/>
      <w:numFmt w:val="decimal"/>
      <w:lvlText w:val="%1."/>
      <w:lvlJc w:val="left"/>
      <w:pPr>
        <w:ind w:left="360" w:hanging="360"/>
      </w:pPr>
      <w:rPr>
        <w:rFonts w:hint="default" w:ascii="Verdana" w:hAnsi="Verdana" w:eastAsia="Calibri" w:cs="Verdan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4">
    <w:nsid w:val="7D433A32"/>
    <w:multiLevelType w:val="multilevel"/>
    <w:tmpl w:val="7D433A32"/>
    <w:lvl w:ilvl="0" w:tentative="0">
      <w:start w:val="1"/>
      <w:numFmt w:val="lowerLetter"/>
      <w:lvlText w:val="(%1)"/>
      <w:lvlJc w:val="left"/>
      <w:pPr>
        <w:ind w:left="720" w:hanging="360"/>
      </w:pPr>
      <w:rPr>
        <w:rFonts w:hint="default" w:ascii="Verdana" w:hAnsi="Verdana"/>
        <w:sz w:val="20"/>
        <w:szCs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2"/>
  </w:num>
  <w:num w:numId="2">
    <w:abstractNumId w:val="27"/>
  </w:num>
  <w:num w:numId="3">
    <w:abstractNumId w:val="19"/>
  </w:num>
  <w:num w:numId="4">
    <w:abstractNumId w:val="29"/>
  </w:num>
  <w:num w:numId="5">
    <w:abstractNumId w:val="1"/>
  </w:num>
  <w:num w:numId="6">
    <w:abstractNumId w:val="30"/>
  </w:num>
  <w:num w:numId="7">
    <w:abstractNumId w:val="15"/>
  </w:num>
  <w:num w:numId="8">
    <w:abstractNumId w:val="7"/>
  </w:num>
  <w:num w:numId="9">
    <w:abstractNumId w:val="32"/>
  </w:num>
  <w:num w:numId="10">
    <w:abstractNumId w:val="34"/>
  </w:num>
  <w:num w:numId="11">
    <w:abstractNumId w:val="3"/>
  </w:num>
  <w:num w:numId="12">
    <w:abstractNumId w:val="23"/>
  </w:num>
  <w:num w:numId="13">
    <w:abstractNumId w:val="9"/>
  </w:num>
  <w:num w:numId="14">
    <w:abstractNumId w:val="18"/>
  </w:num>
  <w:num w:numId="15">
    <w:abstractNumId w:val="17"/>
  </w:num>
  <w:num w:numId="16">
    <w:abstractNumId w:val="14"/>
  </w:num>
  <w:num w:numId="17">
    <w:abstractNumId w:val="8"/>
  </w:num>
  <w:num w:numId="18">
    <w:abstractNumId w:val="31"/>
  </w:num>
  <w:num w:numId="19">
    <w:abstractNumId w:val="11"/>
  </w:num>
  <w:num w:numId="20">
    <w:abstractNumId w:val="21"/>
  </w:num>
  <w:num w:numId="21">
    <w:abstractNumId w:val="5"/>
  </w:num>
  <w:num w:numId="22">
    <w:abstractNumId w:val="10"/>
  </w:num>
  <w:num w:numId="23">
    <w:abstractNumId w:val="6"/>
  </w:num>
  <w:num w:numId="24">
    <w:abstractNumId w:val="16"/>
  </w:num>
  <w:num w:numId="25">
    <w:abstractNumId w:val="26"/>
  </w:num>
  <w:num w:numId="26">
    <w:abstractNumId w:val="28"/>
  </w:num>
  <w:num w:numId="27">
    <w:abstractNumId w:val="2"/>
  </w:num>
  <w:num w:numId="28">
    <w:abstractNumId w:val="4"/>
  </w:num>
  <w:num w:numId="29">
    <w:abstractNumId w:val="33"/>
  </w:num>
  <w:num w:numId="30">
    <w:abstractNumId w:val="25"/>
  </w:num>
  <w:num w:numId="31">
    <w:abstractNumId w:val="20"/>
  </w:num>
  <w:num w:numId="32">
    <w:abstractNumId w:val="13"/>
  </w:num>
  <w:num w:numId="33">
    <w:abstractNumId w:val="22"/>
  </w:num>
  <w:num w:numId="34">
    <w:abstractNumId w:val="0"/>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1134"/>
  <w:hyphenationZone w:val="425"/>
  <w:drawingGridHorizontalSpacing w:val="110"/>
  <w:noPunctuationKerning w:val="1"/>
  <w:characterSpacingControl w:val="doNotCompress"/>
  <w:hdrShapeDefaults>
    <o:shapelayout v:ext="edit">
      <o:idmap v:ext="edit" data="3,4"/>
    </o:shapelayout>
  </w:hdrShapeDefaults>
  <w:footnotePr>
    <w:footnote w:id="24"/>
    <w:footnote w:id="25"/>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cyYWE4YTlkMTVkY2Q2ODk0ZDkxZjVlM2Q3YjE1ZmQifQ=="/>
    <w:docVar w:name="TPS_DownloadWasCheckedOut" w:val="False"/>
    <w:docVar w:name="TPS_Field_ISBN" w:val="11165-4"/>
    <w:docVar w:name="TPS_Field_Job number" w:val="211322"/>
    <w:docVar w:name="TPS_Field_Language" w:val="English"/>
    <w:docVar w:name="TPS_Field_Pub title in running head" w:val="GUIDE TO THE WMO INTEGRATED GLOBAL OBSERVING SYSTEM"/>
    <w:docVar w:name="TPS_Field_Updated in" w:val="Updated in 2021"/>
    <w:docVar w:name="TPS_Field_WMO-number" w:val="1165"/>
    <w:docVar w:name="TPS_Field_Year" w:val="2019"/>
    <w:docVar w:name="TPS_LastUsedHyperlinkSourceID" w:val="723DDAFE-725F-B740-95EC-F305E87C48C7"/>
    <w:docVar w:name="TPS_LastUsedWorkflowName" w:val="Manuals_Guides/PDF for web.typefi_workflow"/>
    <w:docVar w:name="TPS_TSS_1" w:val="&lt;tss&gt;&lt;filename&gt;Manuals_Guides/PDF for web.typefi_workflow&lt;/filename&gt;&lt;retrieved&gt;2022-02-17T14:07:44.021320700Z&lt;/retrieved&gt;&lt;server&gt;https://cloud.typefi.net&lt;/server&gt;&lt;customer&gt;WMO&lt;/customer&gt;&lt;templates&gt;&lt;filename&gt;Manuals_Guides/Templates/Manuals_Guides.indd&lt;/filename&gt;&lt;/templates&gt;&lt;fields&gt;&lt;name&gt;ISBN&lt;/name&gt;&lt;type&gt;text&lt;/type&gt;&lt;/fields&gt;&lt;fields&gt;&lt;name&gt;Job number&lt;/name&gt;&lt;type&gt;text&lt;/type&gt;&lt;/fields&gt;&lt;fields&gt;&lt;name&gt;Language&lt;/name&gt;&lt;type&gt;text&lt;/type&gt;&lt;/fields&gt;&lt;fields&gt;&lt;name&gt;Pub title in running head&lt;/name&gt;&lt;type&gt;text&lt;/type&gt;&lt;/fields&gt;&lt;fields&gt;&lt;name&gt;Updated in&lt;/name&gt;&lt;type&gt;text&lt;/type&gt;&lt;/fields&gt;&lt;fields&gt;&lt;name&gt;WMO-number&lt;/name&gt;&lt;type&gt;text&lt;/type&gt;&lt;/fields&gt;&lt;fields&gt;&lt;name&gt;Year&lt;/name&gt;&lt;type&gt;text&lt;/type&gt;&lt;/fields&gt;&lt;conditions&gt;&lt;name&gt;PDF only&lt;/name&gt;&lt;status&gt;true&lt;/status&gt;&lt;color&gt;#abe1fd&lt;/color&gt;&lt;/conditions&gt;&lt;sections&gt;&lt;name&gt;BC-Back cover&lt;/name&gt;&lt;type&gt;mainStory&lt;/type&gt;&lt;spreads&gt;BC-Back cover&lt;/spreads&gt;&lt;/sections&gt;&lt;sections&gt;&lt;name&gt;BC-Back cover CSG&lt;/name&gt;&lt;type&gt;mainStory&lt;/type&gt;&lt;spreads&gt;BC-Back cover CSG&lt;/spreads&gt;&lt;/sections&gt;&lt;sections&gt;&lt;name&gt;Chapter&lt;/name&gt;&lt;type&gt;mainStory&lt;/type&gt;&lt;fields&gt;&lt;type&gt;text&lt;/type&gt;&lt;name&gt;Chapter title in running head&lt;/name&gt;&lt;/fields&gt;&lt;spreads&gt;Cfp-Chapter first page&lt;/spreads&gt;&lt;spreads&gt;IP-Inside pages&lt;/spreads&gt;&lt;/sections&gt;&lt;sections&gt;&lt;name&gt;Chapter First&lt;/name&gt;&lt;type&gt;mainStory&lt;/type&gt;&lt;fields&gt;&lt;type&gt;text&lt;/type&gt;&lt;name&gt;Chapter title in running head&lt;/name&gt;&lt;/fields&gt;&lt;spreads&gt;Cfp-Chapter first page&lt;/spreads&gt;&lt;spreads&gt;IP-Inside pages&lt;/spreads&gt;&lt;/sections&gt;&lt;sections&gt;&lt;name&gt;Chapter First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Chapter first page&lt;/spreads&gt;&lt;spreads&gt;IP-Inside pages&lt;/spreads&gt;&lt;/sections&gt;&lt;sections&gt;&lt;name&gt;Chapt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Chapter first page&lt;/spreads&gt;&lt;spreads&gt;IP-Inside pages&lt;/spreads&gt;&lt;/sections&gt;&lt;sections&gt;&lt;name&gt;Cover green&lt;/name&gt;&lt;type&gt;mainStory&lt;/type&gt;&lt;spreads&gt;Co-Cover green&lt;/spreads&gt;&lt;/sections&gt;&lt;sections&gt;&lt;name&gt;Cover guidelines&lt;/name&gt;&lt;type&gt;mainStory&lt;/type&gt;&lt;spreads&gt;Co-Cover guidelines&lt;/spreads&gt;&lt;/sections&gt;&lt;sections&gt;&lt;name&gt;Cover red&lt;/name&gt;&lt;type&gt;mainStory&lt;/type&gt;&lt;spreads&gt;Co-Cover red&lt;/spreads&gt;&lt;/sections&gt;&lt;sections&gt;&lt;name&gt;Divider page&lt;/name&gt;&lt;type&gt;mainStory&lt;/type&gt;&lt;fields&gt;&lt;type&gt;text&lt;/type&gt;&lt;name&gt;Chapter_ID&lt;/name&gt;&lt;/fields&gt;&lt;spreads&gt;D-Divider page&lt;/spreads&gt;&lt;/sections&gt;&lt;sections&gt;&lt;name&gt;Endnotes&lt;/name&gt;&lt;type&gt;endnote&lt;/type&gt;&lt;fields&gt;&lt;type&gt;text&lt;/type&gt;&lt;name&gt;Chapter title in running head&lt;/name&gt;&lt;/fields&gt;&lt;spreads&gt;EN-Endnotes&lt;/spreads&gt;&lt;/sections&gt;&lt;sections&gt;&lt;name&gt;ePub Back cover&lt;/name&gt;&lt;type&gt;mainStory&lt;/type&gt;&lt;spreads&gt;ePub-Back_cover&lt;/spreads&gt;&lt;/sections&gt;&lt;sections&gt;&lt;name&gt;Ignore&lt;/name&gt;&lt;type&gt;mainStory&lt;/type&gt;&lt;fields&gt;&lt;type&gt;text&lt;/type&gt;&lt;name&gt;Chapter title in running head&lt;/name&gt;&lt;/fields&gt;&lt;spreads&gt;IP-Inside pages&lt;/spreads&gt;&lt;/sections&gt;&lt;sections&gt;&lt;name&gt;Ignore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IP-Inside pages&lt;/spreads&gt;&lt;/sections&gt;&lt;sections&gt;&lt;name&gt;ISBN-1061&lt;/name&gt;&lt;type&gt;mainStory&lt;/type&gt;&lt;spreads&gt;ISBN-1061&lt;/spreads&gt;&lt;/sections&gt;&lt;sections&gt;&lt;name&gt;ISBN-1182&lt;/name&gt;&lt;type&gt;mainStory&lt;/type&gt;&lt;spreads&gt;ISBN-1182&lt;/spreads&gt;&lt;/sections&gt;&lt;sections&gt;&lt;name&gt;ISBN-Guides&lt;/name&gt;&lt;type&gt;mainStory&lt;/type&gt;&lt;spreads&gt;ISBN-Guides&lt;/spreads&gt;&lt;/sections&gt;&lt;sections&gt;&lt;name&gt;ISBN-long&lt;/name&gt;&lt;type&gt;mainStory&lt;/type&gt;&lt;spreads&gt;ISBN-long&lt;/spreads&gt;&lt;/sections&gt;&lt;sections&gt;&lt;name&gt;ISBN-Long_with_URLs&lt;/name&gt;&lt;type&gt;mainStory&lt;/type&gt;&lt;spreads&gt;ISBN-Long_with_URLs&lt;/spreads&gt;&lt;/sections&gt;&lt;sections&gt;&lt;name&gt;ISBN-short&lt;/name&gt;&lt;type&gt;mainStory&lt;/type&gt;&lt;spreads&gt;ISBN-short&lt;/spreads&gt;&lt;/sections&gt;&lt;sections&gt;&lt;name&gt;ISBN-URLs&lt;/name&gt;&lt;type&gt;mainStory&lt;/type&gt;&lt;spreads&gt;ISBN-URLs&lt;/spreads&gt;&lt;/sections&gt;&lt;sections&gt;&lt;name&gt;ISBN_no_editorial_note&lt;/name&gt;&lt;type&gt;mainStory&lt;/type&gt;&lt;spreads&gt;ISBN-no_editorial_note&lt;/spreads&gt;&lt;/sections&gt;&lt;sections&gt;&lt;name&gt;Landscape chapter&lt;/name&gt;&lt;type&gt;mainStory&lt;/type&gt;&lt;fields&gt;&lt;type&gt;text&lt;/type&gt;&lt;name&gt;Chapter title in running head&lt;/name&gt;&lt;/fields&gt;&lt;spreads&gt;CfpL-Chapter first page landscape&lt;/spreads&gt;&lt;spreads&gt;LS-Landscape&lt;/spreads&gt;&lt;/sections&gt;&lt;sections&gt;&lt;name&gt;Landscape chapt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L-Chapter first page landscape&lt;/spreads&gt;&lt;spreads&gt;LS-Landscape&lt;/spreads&gt;&lt;/sections&gt;&lt;sections&gt;&lt;name&gt;Landscape page with header&lt;/name&gt;&lt;type&gt;mainStory&lt;/type&gt;&lt;fields&gt;&lt;type&gt;text&lt;/type&gt;&lt;name&gt;Chapter title in running head&lt;/name&gt;&lt;/fields&gt;&lt;spreads&gt;LS-Landscape&lt;/spreads&gt;&lt;/sections&gt;&lt;sections&gt;&lt;name&gt;Landscape page with head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LS-Landscape&lt;/spreads&gt;&lt;/sections&gt;&lt;sections&gt;&lt;name&gt;Pr-Preliminary_pages&lt;/name&gt;&lt;type&gt;mainStory&lt;/type&gt;&lt;fields&gt;&lt;type&gt;text&lt;/type&gt;&lt;name&gt;Chapter title in running head&lt;/name&gt;&lt;/fields&gt;&lt;spreads&gt;Pr-Preliminary pages&lt;/spreads&gt;&lt;spreads&gt;Pr-Preliminary&lt;/spreads&gt;&lt;/sections&gt;&lt;sections&gt;&lt;name&gt;Preliminary_pages_book&lt;/name&gt;&lt;type&gt;mainStory&lt;/type&gt;&lt;fields&gt;&lt;type&gt;text&lt;/type&gt;&lt;name&gt;Chapter title in running head&lt;/name&gt;&lt;/fields&gt;&lt;fields&gt;&lt;type&gt;text&lt;/type&gt;&lt;name&gt;Part title in running head&lt;/name&gt;&lt;/fields&gt;&lt;spreads&gt;Pr-Preliminary pages&lt;/spreads&gt;&lt;spreads&gt;Pr-Preliminary&lt;/spreads&gt;&lt;/sections&gt;&lt;sections&gt;&lt;name&gt;Revision_table&lt;/name&gt;&lt;type&gt;mainStory&lt;/type&gt;&lt;spreads&gt;Pr-Preliminary pages&lt;/spreads&gt;&lt;/sections&gt;&lt;sections&gt;&lt;name&gt;Table_of_contents&lt;/name&gt;&lt;type&gt;toc&lt;/type&gt;&lt;spreads&gt;TOC-Table of contents First page&lt;/spreads&gt;&lt;spreads&gt;TOC-Table of contents&lt;/spreads&gt;&lt;/sections&gt;&lt;sections&gt;&lt;name&gt;Table_of_Contents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B-Contents Book&lt;/spreads&gt;&lt;spreads&gt;ToCB-Inside pages Book&lt;/spreads&gt;&lt;/sections&gt;&lt;sections&gt;&lt;name&gt;Table_of_Contents_Chapter&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C-Table of Contents first page Chapter&lt;/spreads&gt;&lt;spreads&gt;ToCC-Table of Contents inside pages Chapter&lt;/spreads&gt;&lt;/sections&gt;&lt;sections&gt;&lt;name&gt;Table_of_Contents_CODES&lt;/name&gt;&lt;type&gt;toc&lt;/type&gt;&lt;spreads&gt;ToC-Contents CODES first page&lt;/spreads&gt;&lt;spreads&gt;ToC-Contents CODES&lt;/spreads&gt;&lt;/sections&gt;&lt;sections&gt;&lt;name&gt;Table_of_Contents_Guidelines&lt;/name&gt;&lt;type&gt;toc&lt;/type&gt;&lt;spreads&gt;ToCG-Contents GUIDELINES first page&lt;/spreads&gt;&lt;spreads&gt;ToCG-Contents GUIDELINES&lt;/spreads&gt;&lt;/sections&gt;&lt;sections&gt;&lt;name&gt;Table_of_Contents_Guidelines_No_Indent&lt;/name&gt;&lt;type&gt;toc&lt;/type&gt;&lt;spreads&gt;TOC-Contents GUIDELINES No indent first page&lt;/spreads&gt;&lt;spreads&gt;TOC-Contents GUIDELINES No indent&lt;/spreads&gt;&lt;/sections&gt;&lt;sections&gt;&lt;name&gt;Table_of_Contents_Part&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P-Contents Part&lt;/spreads&gt;&lt;spreads&gt;ToCP-Inside pages Part&lt;/spreads&gt;&lt;/sections&gt;&lt;sections&gt;&lt;name&gt;Table_of_contents_Procedures&lt;/name&gt;&lt;type&gt;toc&lt;/type&gt;&lt;spreads&gt;TOC-Table of contents Procedures First page&lt;/spreads&gt;&lt;spreads&gt;TOC-Table of contents Procedures&lt;/spreads&gt;&lt;/sections&gt;&lt;sections&gt;&lt;name&gt;TitlePage&lt;/name&gt;&lt;type&gt;mainStory&lt;/type&gt;&lt;spreads&gt;TP-Title page&lt;/spreads&gt;&lt;/sections&gt;&lt;paragraphStyles&gt;&lt;name&gt;COVER TITLE&lt;/name&gt;&lt;nextStyle&gt;&lt;/nextStyle&gt;&lt;/paragraphStyles&gt;&lt;paragraphStyles&gt;&lt;name&gt;COVER subtitle&lt;/name&gt;&lt;nextStyle&gt;&lt;/nextStyle&gt;&lt;/paragraphStyles&gt;&lt;paragraphStyles&gt;&lt;name&gt;COVER sub-subtitle&lt;/name&gt;&lt;nextStyle&gt;&lt;/nextStyle&gt;&lt;/paragraphStyles&gt;&lt;paragraphStyles&gt;&lt;name&gt;TITLE PAGE&lt;/name&gt;&lt;nextStyle&gt;&lt;/nextStyle&gt;&lt;/paragraphStyles&gt;&lt;paragraphStyles&gt;&lt;name&gt;TITLE PAGE subtitle&lt;/name&gt;&lt;nextStyle&gt;&lt;/nextStyle&gt;&lt;/paragraphStyles&gt;&lt;paragraphStyles&gt;&lt;name&gt;TITLE PAGE sub-subtitle&lt;/name&gt;&lt;nextStyle&gt;&lt;/nextStyle&gt;&lt;/paragraphStyles&gt;&lt;paragraphStyles&gt;&lt;name&gt;ZZZZZZZZZZZZZZZZZZZZZZZZZZ&lt;/name&gt;&lt;nextStyle&gt;&lt;/nextStyle&gt;&lt;/paragraphStyles&gt;&lt;paragraphStyles&gt;&lt;name&gt;Overset Warning Head&lt;/name&gt;&lt;nextStyle&gt;Overset Warning Head&lt;/nextStyle&gt;&lt;/paragraphStyles&gt;&lt;paragraphStyles&gt;&lt;name&gt;Overset Warning Details&lt;/name&gt;&lt;nextStyle&gt;Overset Warning Details&lt;/nextStyle&gt;&lt;/paragraphStyles&gt;&lt;paragraphStyles&gt;&lt;name&gt;Part title&lt;/name&gt;&lt;nextStyle&gt;&lt;/nextStyle&gt;&lt;/paragraphStyles&gt;&lt;paragraphStyles&gt;&lt;name&gt;Title divider page&lt;/name&gt;&lt;nextStyle&gt;&lt;/nextStyle&gt;&lt;/paragraphStyles&gt;&lt;paragraphStyles&gt;&lt;name&gt;Chapter head&lt;/name&gt;&lt;nextStyle&gt;&lt;/nextStyle&gt;&lt;/paragraphStyles&gt;&lt;paragraphStyles&gt;&lt;name&gt;Chapter head for TOC keep with next&lt;/name&gt;&lt;nextStyle&gt;&lt;/nextStyle&gt;&lt;/paragraphStyles&gt;&lt;paragraphStyles&gt;&lt;name&gt;Chapter head NO ToC&lt;/name&gt;&lt;nextStyle&gt;&lt;/nextStyle&gt;&lt;/paragraphStyles&gt;&lt;paragraphStyles&gt;&lt;name&gt;Chapter head AnxRef&lt;/name&gt;&lt;nextStyle&gt;&lt;/nextStyle&gt;&lt;/paragraphStyles&gt;&lt;paragraphStyles&gt;&lt;name&gt;Chapter head AnxRef NO ToC&lt;/name&gt;&lt;nextStyle&gt;&lt;/nextStyle&gt;&lt;/paragraphStyles&gt;&lt;paragraphStyles&gt;&lt;name&gt;Heading_centred&lt;/name&gt;&lt;nextStyle&gt;&lt;/nextStyle&gt;&lt;/paragraphStyles&gt;&lt;paragraphStyles&gt;&lt;name&gt;Chapter head NOT running head&lt;/name&gt;&lt;nextStyle&gt;&lt;/nextStyle&gt;&lt;/paragraphStyles&gt;&lt;paragraphStyles&gt;&lt;name&gt;Chapter_subhead&lt;/name&gt;&lt;nextStyle&gt;&lt;/nextStyle&gt;&lt;/paragraphStyles&gt;&lt;paragraphStyles&gt;&lt;name&gt;Heading_1&lt;/name&gt;&lt;nextStyle&gt;&lt;/nextStyle&gt;&lt;/paragraphStyles&gt;&lt;paragraphStyles&gt;&lt;name&gt;Heading_1 for TOC keep with next&lt;/name&gt;&lt;nextStyle&gt;&lt;/nextStyle&gt;&lt;/paragraphStyles&gt;&lt;paragraphStyles&gt;&lt;name&gt;Heading_1 NO indent&lt;/name&gt;&lt;nextStyle&gt;&lt;/nextStyle&gt;&lt;/paragraphStyles&gt;&lt;paragraphStyles&gt;&lt;name&gt;Heading_1 NO Toc NO indent&lt;/name&gt;&lt;nextStyle&gt;&lt;/nextStyle&gt;&lt;/paragraphStyles&gt;&lt;paragraphStyles&gt;&lt;name&gt;Heading_1 NO ToC&lt;/name&gt;&lt;nextStyle&gt;&lt;/nextStyle&gt;&lt;/paragraphStyles&gt;&lt;paragraphStyles&gt;&lt;name&gt;Heading_2&lt;/name&gt;&lt;nextStyle&gt;&lt;/nextStyle&gt;&lt;/paragraphStyles&gt;&lt;paragraphStyles&gt;&lt;name&gt;Heading_2 for TOC keep with next&lt;/name&gt;&lt;nextStyle&gt;&lt;/nextStyle&gt;&lt;/paragraphStyles&gt;&lt;paragraphStyles&gt;&lt;name&gt;Heading_2 NO indent&lt;/name&gt;&lt;nextStyle&gt;&lt;/nextStyle&gt;&lt;/paragraphStyles&gt;&lt;paragraphStyles&gt;&lt;name&gt;Heading_2_NO_ToC&lt;/name&gt;&lt;nextStyle&gt;&lt;/nextStyle&gt;&lt;/paragraphStyles&gt;&lt;paragraphStyles&gt;&lt;name&gt;Heading_2 NO Toc NO indent&lt;/name&gt;&lt;nextStyle&gt;&lt;/nextStyle&gt;&lt;/paragraphStyles&gt;&lt;paragraphStyles&gt;&lt;name&gt;Heading_3&lt;/name&gt;&lt;nextStyle&gt;&lt;/nextStyle&gt;&lt;/paragraphStyles&gt;&lt;paragraphStyles&gt;&lt;name&gt;Heading_3_NO_ToC&lt;/name&gt;&lt;nextStyle&gt;&lt;/nextStyle&gt;&lt;/paragraphStyles&gt;&lt;paragraphStyles&gt;&lt;name&gt;Heading_4&lt;/name&gt;&lt;nextStyle&gt;&lt;/nextStyle&gt;&lt;/paragraphStyles&gt;&lt;paragraphStyles&gt;&lt;name&gt;Heading_5&lt;/name&gt;&lt;nextStyle&gt;&lt;/nextStyle&gt;&lt;/paragraphStyles&gt;&lt;paragraphStyles&gt;&lt;name&gt;Heading_6&lt;/name&gt;&lt;nextStyle&gt;&lt;/nextStyle&gt;&lt;/paragraphStyles&gt;&lt;paragraphStyles&gt;&lt;name&gt;Subheading_1&lt;/name&gt;&lt;nextStyle&gt;&lt;/nextStyle&gt;&lt;/paragraphStyles&gt;&lt;paragraphStyles&gt;&lt;name&gt;Subheading_2&lt;/name&gt;&lt;nextStyle&gt;&lt;/nextStyle&gt;&lt;/paragraphStyles&gt;&lt;paragraphStyles&gt;&lt;name&gt;Codes_heading_FM&lt;/name&gt;&lt;nextStyle&gt;&lt;/nextStyle&gt;&lt;/paragraphStyles&gt;&lt;paragraphStyles&gt;&lt;name&gt;Codes_heading_Ext&lt;/name&gt;&lt;nextStyle&gt;&lt;/nextStyle&gt;&lt;/paragraphStyles&gt;&lt;paragraphStyles&gt;&lt;name&gt;Heading_Revision_table&lt;/name&gt;&lt;nextStyle&gt;&lt;/nextStyle&gt;&lt;/paragraphStyles&gt;&lt;paragraphStyles&gt;&lt;name&gt;Body_text&lt;/name&gt;&lt;nextStyle&gt;&lt;/nextStyle&gt;&lt;/paragraphStyles&gt;&lt;paragraphStyles&gt;&lt;name&gt;Codes_body_text_Ext&lt;/name&gt;&lt;nextStyle&gt;&lt;/nextStyle&gt;&lt;/paragraphStyles&gt;&lt;paragraphStyles&gt;&lt;name&gt;Keep_next_body_text&lt;/name&gt;&lt;nextStyle&gt;&lt;/nextStyle&gt;&lt;/paragraphStyles&gt;&lt;paragraphStyles&gt;&lt;name&gt;Body text semibold&lt;/name&gt;&lt;nextStyle&gt;&lt;/nextStyle&gt;&lt;/paragraphStyles&gt;&lt;paragraphStyles&gt;&lt;name&gt;Definitions and others&lt;/name&gt;&lt;nextStyle&gt;&lt;/nextStyle&gt;&lt;/paragraphStyles&gt;&lt;paragraphStyles&gt;&lt;name&gt;Courier indent&lt;/name&gt;&lt;nextStyle&gt;&lt;/nextStyle&gt;&lt;/paragraphStyles&gt;&lt;paragraphStyles&gt;&lt;name&gt;Courier indent NO space after&lt;/name&gt;&lt;nextStyle&gt;&lt;/nextStyle&gt;&lt;/paragraphStyles&gt;&lt;paragraphStyles&gt;&lt;name&gt;Courier shaded&lt;/name&gt;&lt;nextStyle&gt;&lt;/nextStyle&gt;&lt;/paragraphStyles&gt;&lt;paragraphStyles&gt;&lt;name&gt;Courier box blue border&lt;/name&gt;&lt;nextStyle&gt;&lt;/nextStyle&gt;&lt;/paragraphStyles&gt;&lt;paragraphStyles&gt;&lt;name&gt;Footnote Text&lt;/name&gt;&lt;nextStyle&gt;&lt;/nextStyle&gt;&lt;/paragraphStyles&gt;&lt;paragraphStyles&gt;&lt;name&gt;Endnote Text&lt;/name&gt;&lt;nextStyle&gt;&lt;/nextStyle&gt;&lt;/paragraphStyles&gt;&lt;paragraphStyles&gt;&lt;name&gt;Footnote before table&lt;/name&gt;&lt;nextStyle&gt;&lt;/nextStyle&gt;&lt;/paragraphStyles&gt;&lt;paragraphStyles&gt;&lt;name&gt;Footnote after table&lt;/name&gt;&lt;nextStyle&gt;&lt;/nextStyle&gt;&lt;/paragraphStyles&gt;&lt;paragraphStyles&gt;&lt;name&gt;Note&lt;/name&gt;&lt;nextStyle&gt;&lt;/nextStyle&gt;&lt;/paragraphStyles&gt;&lt;paragraphStyles&gt;&lt;name&gt;Note space before&lt;/name&gt;&lt;nextStyle&gt;&lt;/nextStyle&gt;&lt;/paragraphStyles&gt;&lt;paragraphStyles&gt;&lt;name&gt;Indent 1_note&lt;/name&gt;&lt;nextStyle&gt;&lt;/nextStyle&gt;&lt;/paragraphStyles&gt;&lt;paragraphStyles&gt;&lt;name&gt;Indent 2_note&lt;/name&gt;&lt;nextStyle&gt;&lt;/nextStyle&gt;&lt;/paragraphStyles&gt;&lt;paragraphStyles&gt;&lt;name&gt;Notes heading&lt;/name&gt;&lt;nextStyle&gt;&lt;/nextStyle&gt;&lt;/paragraphStyles&gt;&lt;paragraphStyles&gt;&lt;name&gt;Indent 1_Notes heading&lt;/name&gt;&lt;nextStyle&gt;&lt;/nextStyle&gt;&lt;/paragraphStyles&gt;&lt;paragraphStyles&gt;&lt;name&gt;Notes 1&lt;/name&gt;&lt;nextStyle&gt;&lt;/nextStyle&gt;&lt;/paragraphStyles&gt;&lt;paragraphStyles&gt;&lt;name&gt;Indent 1_Notes 1&lt;/name&gt;&lt;nextStyle&gt;&lt;/nextStyle&gt;&lt;/paragraphStyles&gt;&lt;paragraphStyles&gt;&lt;name&gt;Keep_next_indent_1&lt;/name&gt;&lt;nextStyle&gt;&lt;/nextStyle&gt;&lt;/paragraphStyles&gt;&lt;paragraphStyles&gt;&lt;name&gt;Notes 2&lt;/name&gt;&lt;nextStyle&gt;&lt;/nextStyle&gt;&lt;/paragraphStyles&gt;&lt;paragraphStyles&gt;&lt;name&gt;Notes 3&lt;/name&gt;&lt;nextStyle&gt;&lt;/nextStyle&gt;&lt;/paragraphStyles&gt;&lt;paragraphStyles&gt;&lt;name&gt;Quotes&lt;/name&gt;&lt;nextStyle&gt;&lt;/nextStyle&gt;&lt;/paragraphStyles&gt;&lt;paragraphStyles&gt;&lt;name&gt;Quotes tab&lt;/name&gt;&lt;nextStyle&gt;&lt;/nextStyle&gt;&lt;/paragraphStyles&gt;&lt;paragraphStyles&gt;&lt;name&gt;Quotes tab space after&lt;/name&gt;&lt;nextStyle&gt;&lt;/nextStyle&gt;&lt;/paragraphStyles&gt;&lt;paragraphStyles&gt;&lt;name&gt;Quote semi bold&lt;/name&gt;&lt;nextStyle&gt;&lt;/nextStyle&gt;&lt;/paragraphStyles&gt;&lt;paragraphStyles&gt;&lt;name&gt;References&lt;/name&gt;&lt;nextStyle&gt;&lt;/nextStyle&gt;&lt;/paragraphStyles&gt;&lt;paragraphStyles&gt;&lt;name&gt;References keep with next&lt;/name&gt;&lt;nextStyle&gt;&lt;/nextStyle&gt;&lt;/paragraphStyles&gt;&lt;paragraphStyles&gt;&lt;name&gt;Signature&lt;/name&gt;&lt;nextStyle&gt;&lt;/nextStyle&gt;&lt;/paragraphStyles&gt;&lt;paragraphStyles&gt;&lt;name&gt;Equation&lt;/name&gt;&lt;nextStyle&gt;&lt;/nextStyle&gt;&lt;/paragraphStyles&gt;&lt;paragraphStyles&gt;&lt;name&gt;Indent 1&lt;/name&gt;&lt;nextStyle&gt;&lt;/nextStyle&gt;&lt;/paragraphStyles&gt;&lt;paragraphStyles&gt;&lt;name&gt;Indent 2&lt;/name&gt;&lt;nextStyle&gt;&lt;/nextStyle&gt;&lt;/paragraphStyles&gt;&lt;paragraphStyles&gt;&lt;name&gt;Indent 3&lt;/name&gt;&lt;nextStyle&gt;&lt;/nextStyle&gt;&lt;/paragraphStyles&gt;&lt;paragraphStyles&gt;&lt;name&gt;Indent 4&lt;/name&gt;&lt;nextStyle&gt;&lt;/nextStyle&gt;&lt;/paragraphStyles&gt;&lt;paragraphStyles&gt;&lt;name&gt;Indent 5&lt;/name&gt;&lt;nextStyle&gt;&lt;/nextStyle&gt;&lt;/paragraphStyles&gt;&lt;paragraphStyles&gt;&lt;name&gt;Indent 1 semi bold&lt;/name&gt;&lt;nextStyle&gt;&lt;/nextStyle&gt;&lt;/paragraphStyles&gt;&lt;paragraphStyles&gt;&lt;name&gt;Indent 2 semi bold&lt;/name&gt;&lt;nextStyle&gt;&lt;/nextStyle&gt;&lt;/paragraphStyles&gt;&lt;paragraphStyles&gt;&lt;name&gt;Indent 3 semi bold&lt;/name&gt;&lt;nextStyle&gt;&lt;/nextStyle&gt;&lt;/paragraphStyles&gt;&lt;paragraphStyles&gt;&lt;name&gt;Indent 4 semi bold&lt;/name&gt;&lt;nextStyle&gt;&lt;/nextStyle&gt;&lt;/paragraphStyles&gt;&lt;paragraphStyles&gt;&lt;name&gt;Indent 5 semi bold&lt;/name&gt;&lt;nextStyle&gt;&lt;/nextStyle&gt;&lt;/paragraphStyles&gt;&lt;paragraphStyles&gt;&lt;name&gt;Indent 5 semibold&lt;/name&gt;&lt;nextStyle&gt;&lt;/nextStyle&gt;&lt;/paragraphStyles&gt;&lt;paragraphStyles&gt;&lt;name&gt;Indent 1 semi bold NO space after&lt;/name&gt;&lt;nextStyle&gt;&lt;/nextStyle&gt;&lt;/paragraphStyles&gt;&lt;paragraphStyles&gt;&lt;name&gt;Indent 2 semi bold NO space after&lt;/name&gt;&lt;nextStyle&gt;&lt;/nextStyle&gt;&lt;/paragraphStyles&gt;&lt;paragraphStyles&gt;&lt;name&gt;Indent 3 semi bold NO space after&lt;/name&gt;&lt;nextStyle&gt;&lt;/nextStyle&gt;&lt;/paragraphStyles&gt;&lt;paragraphStyles&gt;&lt;name&gt;Indent 4 semi bold NO space after&lt;/name&gt;&lt;nextStyle&gt;&lt;/nextStyle&gt;&lt;/paragraphStyles&gt;&lt;paragraphStyles&gt;&lt;name&gt;Indent 5 semi bold NO space after&lt;/name&gt;&lt;nextStyle&gt;&lt;/nextStyle&gt;&lt;/paragraphStyles&gt;&lt;paragraphStyles&gt;&lt;name&gt;Indent 1 NO space after&lt;/name&gt;&lt;nextStyle&gt;&lt;/nextStyle&gt;&lt;/paragraphStyles&gt;&lt;paragraphStyles&gt;&lt;name&gt;Indent 2 NO space after&lt;/name&gt;&lt;nextStyle&gt;&lt;/nextStyle&gt;&lt;/paragraphStyles&gt;&lt;paragraphStyles&gt;&lt;name&gt;Indent 3 NO space after&lt;/name&gt;&lt;nextStyle&gt;&lt;/nextStyle&gt;&lt;/paragraphStyles&gt;&lt;paragraphStyles&gt;&lt;name&gt;Indent 4 NO space after&lt;/name&gt;&lt;nextStyle&gt;&lt;/nextStyle&gt;&lt;/paragraphStyles&gt;&lt;paragraphStyles&gt;&lt;name&gt;Indent 5 NO space after&lt;/name&gt;&lt;nextStyle&gt;&lt;/nextStyle&gt;&lt;/paragraphStyles&gt;&lt;paragraphStyles&gt;&lt;name&gt;THE END _____&lt;/name&gt;&lt;nextStyle&gt;&lt;/nextStyle&gt;&lt;/paragraphStyles&gt;&lt;paragraphStyles&gt;&lt;name&gt;THE END _____ landscape&lt;/name&gt;&lt;nextStyle&gt;&lt;/nextStyle&gt;&lt;/paragraphStyles&gt;&lt;paragraphStyles&gt;&lt;name&gt;THE END _____ NO space before&lt;/name&gt;&lt;nextStyle&gt;&lt;/nextStyle&gt;&lt;/paragraphStyles&gt;&lt;paragraphStyles&gt;&lt;name&gt;THE END _____ NO space before landscape&lt;/name&gt;&lt;nextStyle&gt;&lt;/nextStyle&gt;&lt;/paragraphStyles&gt;&lt;paragraphStyles&gt;&lt;name&gt;Box heading&lt;/name&gt;&lt;nextStyle&gt;&lt;/nextStyle&gt;&lt;/paragraphStyles&gt;&lt;paragraphStyles&gt;&lt;name&gt;Box text&lt;/name&gt;&lt;nextStyle&gt;&lt;/nextStyle&gt;&lt;/paragraphStyles&gt;&lt;paragraphStyles&gt;&lt;name&gt;Box text indent&lt;/name&gt;&lt;nextStyle&gt;&lt;/nextStyle&gt;&lt;/paragraphStyles&gt;&lt;paragraphStyles&gt;&lt;name&gt;Figure NOT tagged left&lt;/name&gt;&lt;nextStyle&gt;&lt;/nextStyle&gt;&lt;/paragraphStyles&gt;&lt;paragraphStyles&gt;&lt;name&gt;Figure NOT tagged centre&lt;/name&gt;&lt;nextStyle&gt;&lt;/nextStyle&gt;&lt;/paragraphStyles&gt;&lt;paragraphStyles&gt;&lt;name&gt;Figure NOT tagged right&lt;/name&gt;&lt;nextStyle&gt;&lt;/nextStyle&gt;&lt;/paragraphStyles&gt;&lt;paragraphStyles&gt;&lt;name&gt;Figure caption&lt;/name&gt;&lt;nextStyle&gt;&lt;/nextStyle&gt;&lt;/paragraphStyles&gt;&lt;paragraphStyles&gt;&lt;name&gt;Figure caption tracking minus 10&lt;/name&gt;&lt;nextStyle&gt;&lt;/nextStyle&gt;&lt;/paragraphStyles&gt;&lt;paragraphStyles&gt;&lt;name&gt;Figure caption space after&lt;/name&gt;&lt;nextStyle&gt;&lt;/nextStyle&gt;&lt;/paragraphStyles&gt;&lt;paragraphStyles&gt;&lt;name&gt;Source&lt;/name&gt;&lt;nextStyle&gt;&lt;/nextStyle&gt;&lt;/paragraphStyles&gt;&lt;paragraphStyles&gt;&lt;name&gt;Table caption&lt;/name&gt;&lt;nextStyle&gt;&lt;/nextStyle&gt;&lt;/paragraphStyles&gt;&lt;paragraphStyles&gt;&lt;name&gt;Table header&lt;/name&gt;&lt;nextStyle&gt;&lt;/nextStyle&gt;&lt;/paragraphStyles&gt;&lt;paragraphStyles&gt;&lt;name&gt;Table header tracking minus 10&lt;/name&gt;&lt;nextStyle&gt;&lt;/nextStyle&gt;&lt;/paragraphStyles&gt;&lt;paragraphStyles&gt;&lt;name&gt;Table body&lt;/name&gt;&lt;nextStyle&gt;&lt;/nextStyle&gt;&lt;/paragraphStyles&gt;&lt;paragraphStyles&gt;&lt;name&gt;Table body on grid&lt;/name&gt;&lt;nextStyle&gt;&lt;/nextStyle&gt;&lt;/paragraphStyles&gt;&lt;paragraphStyles&gt;&lt;name&gt;Table bracket&lt;/name&gt;&lt;nextStyle&gt;&lt;/nextStyle&gt;&lt;/paragraphStyles&gt;&lt;paragraphStyles&gt;&lt;name&gt;Table body shaded&lt;/name&gt;&lt;nextStyle&gt;&lt;/nextStyle&gt;&lt;/paragraphStyles&gt;&lt;paragraphStyles&gt;&lt;name&gt;Table shaded divider&lt;/name&gt;&lt;nextStyle&gt;&lt;/nextStyle&gt;&lt;/paragraphStyles&gt;&lt;paragraphStyles&gt;&lt;name&gt;Table body centered&lt;/name&gt;&lt;nextStyle&gt;&lt;/nextStyle&gt;&lt;/paragraphStyles&gt;&lt;paragraphStyles&gt;&lt;name&gt;Table body indent 1&lt;/name&gt;&lt;nextStyle&gt;&lt;/nextStyle&gt;&lt;/paragraphStyles&gt;&lt;paragraphStyles&gt;&lt;name&gt;Table body indent 2&lt;/name&gt;&lt;nextStyle&gt;&lt;/nextStyle&gt;&lt;/paragraphStyles&gt;&lt;paragraphStyles&gt;&lt;name&gt;Table note&lt;/name&gt;&lt;nextStyle&gt;&lt;/nextStyle&gt;&lt;/paragraphStyles&gt;&lt;paragraphStyles&gt;&lt;name&gt;Table notes&lt;/name&gt;&lt;nextStyle&gt;Table notes&lt;/nextStyle&gt;&lt;/paragraphStyles&gt;&lt;paragraphStyles&gt;&lt;name&gt;Table as text&lt;/name&gt;&lt;nextStyle&gt;&lt;/nextStyle&gt;&lt;/paragraphStyles&gt;&lt;paragraphStyles&gt;&lt;name&gt;Table as text NO space&lt;/name&gt;&lt;nextStyle&gt;&lt;/nextStyle&gt;&lt;/paragraphStyles&gt;&lt;paragraphStyles&gt;&lt;name&gt;Table source&lt;/name&gt;&lt;nextStyle&gt;&lt;/nextStyle&gt;&lt;/paragraphStyles&gt;&lt;charStyles&gt;Footnote Reference&lt;/charStyles&gt;&lt;charStyles&gt;Endnote Reference&lt;/charStyles&gt;&lt;charStyles&gt;Bold&lt;/charStyles&gt;&lt;charStyles&gt;Bold italic&lt;/charStyles&gt;&lt;charStyles&gt;Courier character&lt;/charStyles&gt;&lt;charStyles&gt;Cover_italic&lt;/charStyles&gt;&lt;charStyles&gt;Hairspace_no_break&lt;/charStyles&gt;&lt;charStyles&gt;Hairspace_break&lt;/charStyles&gt;&lt;charStyles&gt;Highlight yellow&lt;/charStyles&gt;&lt;charStyles&gt;Highlight violet&lt;/charStyles&gt;&lt;charStyles&gt;Hyperlink&lt;/charStyles&gt;&lt;charStyles&gt;Hyperlink Italic&lt;/charStyles&gt;&lt;charStyles&gt;Italic&lt;/charStyles&gt;&lt;charStyles&gt;Letter lower case&lt;/charStyles&gt;&lt;charStyles&gt;Medium&lt;/charStyles&gt;&lt;charStyles&gt;No Break&lt;/charStyles&gt;&lt;charStyles&gt;Semi bold&lt;/charStyles&gt;&lt;charStyles&gt;Semi bold italic&lt;/charStyles&gt;&lt;charStyles&gt;Space non-breaking&lt;/charStyles&gt;&lt;charStyles&gt;Space Thin (numbers)&lt;/charStyles&gt;&lt;charStyles&gt;Subscript&lt;/charStyles&gt;&lt;charStyles&gt;Subscript italic&lt;/charStyles&gt;&lt;charStyles&gt;Subscript semi bold&lt;/charStyles&gt;&lt;charStyles&gt;Superscript&lt;/charStyles&gt;&lt;charStyles&gt;Superscript italic&lt;/charStyles&gt;&lt;charStyles&gt;Superscript semi bold&lt;/charStyles&gt;&lt;charStyles&gt;Running_heads&lt;/charStyles&gt;&lt;charStyles&gt;Serif&lt;/charStyles&gt;&lt;charStyles&gt;Serif bold&lt;/charStyles&gt;&lt;charStyles&gt;Serif semi bold&lt;/charStyles&gt;&lt;charStyles&gt;Serif bold italic&lt;/charStyles&gt;&lt;charStyles&gt;Serif subscript&lt;/charStyles&gt;&lt;charStyles&gt;Serif superscript&lt;/charStyles&gt;&lt;charStyles&gt;Serif italic&lt;/charStyles&gt;&lt;charStyles&gt;Serif italic subscript&lt;/charStyles&gt;&lt;charStyles&gt;Serif italic superscript&lt;/charStyles&gt;&lt;charStyles&gt;Serif italic semi bold&lt;/charStyles&gt;&lt;charStyles&gt;Serif italic subscript semi bold&lt;/charStyles&gt;&lt;charStyles&gt;Serif italic superscript semi bold&lt;/charStyles&gt;&lt;charStyles&gt;Stix&lt;/charStyles&gt;&lt;charStyles&gt;Stix bold&lt;/charStyles&gt;&lt;charStyles&gt;Stix bold italic&lt;/charStyles&gt;&lt;charStyles&gt;Stix Math&lt;/charStyles&gt;&lt;charStyles&gt;Stix superscript&lt;/charStyles&gt;&lt;charStyles&gt;Stix subscript&lt;/charStyles&gt;&lt;charStyles&gt;Stix italic&lt;/charStyles&gt;&lt;charStyles&gt;Stix italic superscript&lt;/charStyles&gt;&lt;charStyles&gt;Stix italic subscript&lt;/charStyles&gt;&lt;charStyles&gt;table row no break&lt;/charStyles&gt;&lt;charStyles&gt;Tracking minus 10&lt;/charStyles&gt;&lt;charStyles&gt;Tiny&lt;/charStyles&gt;&lt;charStyles&gt;OSCAR Highlight green&lt;/charStyles&gt;&lt;charStyles&gt;OSCAR Highlight blue&lt;/charStyles&gt;&lt;charStyles&gt;OSCAR Highlight blue dark&lt;/charStyles&gt;&lt;charStyles&gt;OSCAR Highlight blue 255&lt;/charStyles&gt;&lt;charStyles&gt;OSCAR Highlight green dark&lt;/charStyles&gt;&lt;charStyles&gt;OSCAR Highlight orange&lt;/charStyles&gt;&lt;charStyles&gt;OSCAR Highlight bordeau&lt;/charStyles&gt;&lt;charStyles&gt;OSCAR Highlight red&lt;/charStyles&gt;&lt;charStyles&gt;OSCAR Highlight grey&lt;/charStyles&gt;&lt;charStyles&gt;Color Red&lt;/charStyles&gt;&lt;tables&gt;Revision table&lt;/tables&gt;&lt;tables&gt;Table with lines&lt;/tables&gt;&lt;tables&gt;Table no lines&lt;/tables&gt;&lt;tables&gt;Table horizontal lines&lt;/tables&gt;&lt;tables&gt;Table shaded header with lines&lt;/tables&gt;&lt;tables&gt;Table shaded header no lines&lt;/tables&gt;&lt;tables&gt;Table as text&lt;/tables&gt;&lt;tables&gt;Table as text NO space&lt;/tables&gt;&lt;tables&gt;Table Box&lt;/tables&gt;&lt;tables&gt;Table Box Grey&lt;/tables&gt;&lt;tables&gt;Table with lines header space&lt;/tables&gt;&lt;placedElements&gt;&lt;name&gt;Landscape title&lt;/name&gt;&lt;/placedElements&gt;&lt;inlineElements&gt;&lt;name&gt;Full_page&lt;/name&gt;&lt;frames&gt;&lt;type&gt;imageFrame&lt;/type&gt;&lt;/frames&gt;&lt;/inlineElements&gt;&lt;inlineElements&gt;&lt;name&gt;Picture inline&lt;/name&gt;&lt;frames&gt;&lt;type&gt;imageFrame&lt;/type&gt;&lt;/frames&gt;&lt;/inlineElements&gt;&lt;inlineElements&gt;&lt;name&gt;Picture inline 0.1 frame black&lt;/name&gt;&lt;frames&gt;&lt;type&gt;imageFrame&lt;/type&gt;&lt;/frames&gt;&lt;/inlineElements&gt;&lt;inlineElements&gt;&lt;name&gt;Picture inline 0.1 frame black NO space&lt;/name&gt;&lt;frames&gt;&lt;type&gt;imageFrame&lt;/type&gt;&lt;/frames&gt;&lt;/inlineElements&gt;&lt;inlineElements&gt;&lt;name&gt;Picture inline fix size&lt;/name&gt;&lt;frames&gt;&lt;type&gt;imageFrame&lt;/type&gt;&lt;/frames&gt;&lt;/inlineElements&gt;&lt;inlineElements&gt;&lt;name&gt;Picture inline fix size 0.1 frame black&lt;/name&gt;&lt;frames&gt;&lt;type&gt;imageFrame&lt;/type&gt;&lt;/frames&gt;&lt;/inlineElements&gt;&lt;inlineElements&gt;&lt;name&gt;Picture inline fix size 0.1 frame black NO space&lt;/name&gt;&lt;frames&gt;&lt;type&gt;imageFrame&lt;/type&gt;&lt;/frames&gt;&lt;/inlineElements&gt;&lt;inlineElements&gt;&lt;name&gt;Picture inline fixed size NO space&lt;/name&gt;&lt;frames&gt;&lt;type&gt;imageFrame&lt;/type&gt;&lt;/frames&gt;&lt;/inlineElements&gt;&lt;inlineElements&gt;&lt;name&gt;Picture inline landscape (4 lines caption)&lt;/name&gt;&lt;frames&gt;&lt;type&gt;imageFrame&lt;/type&gt;&lt;/frames&gt;&lt;/inlineElements&gt;&lt;inlineElements&gt;&lt;name&gt;Picture inline NO space&lt;/name&gt;&lt;frames&gt;&lt;type&gt;imageFrame&lt;/type&gt;&lt;/frames&gt;&lt;/inlineElements&gt;&lt;inlineElements&gt;&lt;name&gt;Picture inline SG signature&lt;/name&gt;&lt;frames&gt;&lt;type&gt;imageFrame&lt;/type&gt;&lt;/frames&gt;&lt;/inlineElements&gt;&lt;inlineElements&gt;&lt;name&gt;Picture inline SG signature NO space before&lt;/name&gt;&lt;frames&gt;&lt;type&gt;imageFrame&lt;/type&gt;&lt;/frames&gt;&lt;/inlineElements&gt;&lt;floatingElements&gt;&lt;name&gt;Floating object&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loating object landscape&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ull page floating&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Place_pdf&lt;/name&gt;&lt;frames&gt;&lt;type&gt;imageFrame&lt;/type&gt;&lt;/frames&gt;&lt;variants&gt;&lt;keyword&gt;bottom&lt;/keyword&gt;&lt;frames&gt;&lt;type&gt;image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TOC Page Number&lt;/crossReferenceFormatDefinitions&gt;&lt;crossReferenceFormatDefinitions&gt;Tps.Toc.Entry&lt;/crossReferenceFormatDefinitions&gt;&lt;tocStyles&gt;[Default]&lt;/tocStyles&gt;&lt;tocStyles&gt;MAIN_TOC&lt;/tocStyles&gt;&lt;tocStyles&gt;CODES_ToC&lt;/tocStyles&gt;&lt;tocStyles&gt;BOOK_TOC&lt;/tocStyles&gt;&lt;tocStyles&gt;PART_TOC&lt;/tocStyles&gt;&lt;tocStyles&gt;TOC_Bookmarks&lt;/tocStyles&gt;&lt;tocStyles&gt;GUIDELINES_TOC&lt;/tocStyles&gt;&lt;tocStyles&gt;GUIDELINES_TOC_NO_INDENT&lt;/tocStyles&gt;&lt;tocStyles&gt;PROCEDURES_TOC&lt;/tocStyles&gt;&lt;spreads&gt;&lt;name&gt;Co-Cover red&lt;/name&gt;&lt;pages&gt;&lt;frames&gt;&lt;type&gt;mainStoryFrame&lt;/type&gt;&lt;/frames&gt;&lt;/pages&gt;&lt;/spreads&gt;&lt;spreads&gt;&lt;name&gt;Co-Cover green&lt;/name&gt;&lt;pages&gt;&lt;frames&gt;&lt;type&gt;mainStoryFrame&lt;/type&gt;&lt;/frames&gt;&lt;/pages&gt;&lt;/spreads&gt;&lt;spreads&gt;&lt;name&gt;Co-Cover guidelines&lt;/name&gt;&lt;pages&gt;&lt;frames&gt;&lt;type&gt;mainStoryFrame&lt;/type&gt;&lt;/frames&gt;&lt;/pages&gt;&lt;/spreads&gt;&lt;spreads&gt;&lt;name&gt;TP-Title page&lt;/name&gt;&lt;pages&gt;&lt;frames&gt;&lt;type&gt;mainStoryFrame&lt;/type&gt;&lt;/frames&gt;&lt;/pages&gt;&lt;/spreads&gt;&lt;spreads&gt;&lt;name&gt;ISBN-no_editorial_note&lt;/name&gt;&lt;pages /&gt;&lt;/spreads&gt;&lt;spreads&gt;&lt;name&gt;ISBN-short&lt;/name&gt;&lt;pages /&gt;&lt;/spreads&gt;&lt;spreads&gt;&lt;name&gt;ISBN-long&lt;/name&gt;&lt;pages /&gt;&lt;/spreads&gt;&lt;spreads&gt;&lt;name&gt;ISBN-Long_with_URLs&lt;/name&gt;&lt;pages /&gt;&lt;/spreads&gt;&lt;spreads&gt;&lt;name&gt;ISBN-Guides&lt;/name&gt;&lt;pages /&gt;&lt;/spreads&gt;&lt;spreads&gt;&lt;name&gt;ISBN-URLs&lt;/name&gt;&lt;pages /&gt;&lt;/spreads&gt;&lt;spreads&gt;&lt;name&gt;ISBN-1061&lt;/name&gt;&lt;pages /&gt;&lt;/spreads&gt;&lt;spreads&gt;&lt;name&gt;ISBN-1182&lt;/name&gt;&lt;pages /&gt;&lt;/spreads&gt;&lt;spreads&gt;&lt;name&gt;TOC-Table of contents First page&lt;/name&gt;&lt;pages /&gt;&lt;pages&gt;&lt;frames&gt;&lt;type&gt;tocFrame&lt;/type&gt;&lt;/frames&gt;&lt;/pages&gt;&lt;/spreads&gt;&lt;spreads&gt;&lt;name&gt;TOC-Table of contents&lt;/name&gt;&lt;pages&gt;&lt;frames&gt;&lt;type&gt;tocFrame&lt;/type&gt;&lt;/frames&gt;&lt;/pages&gt;&lt;pages&gt;&lt;frames&gt;&lt;type&gt;tocFrame&lt;/type&gt;&lt;/frames&gt;&lt;/pages&gt;&lt;/spreads&gt;&lt;spreads&gt;&lt;name&gt;TOC-Table of contents Procedures First page&lt;/name&gt;&lt;pages /&gt;&lt;pages&gt;&lt;frames&gt;&lt;type&gt;tocFrame&lt;/type&gt;&lt;/frames&gt;&lt;/pages&gt;&lt;/spreads&gt;&lt;spreads&gt;&lt;name&gt;TOC-Table of contents Procedures&lt;/name&gt;&lt;pages&gt;&lt;frames&gt;&lt;type&gt;tocFrame&lt;/type&gt;&lt;/frames&gt;&lt;/pages&gt;&lt;pages&gt;&lt;frames&gt;&lt;type&gt;tocFrame&lt;/type&gt;&lt;/frames&gt;&lt;/pages&gt;&lt;/spreads&gt;&lt;spreads&gt;&lt;name&gt;TOCB-Contents Book&lt;/name&gt;&lt;pages /&gt;&lt;pages&gt;&lt;frames&gt;&lt;type&gt;mainStoryFrame&lt;/type&gt;&lt;/frames&gt;&lt;frames&gt;&lt;type&gt;tocFrame&lt;/type&gt;&lt;/frames&gt;&lt;/pages&gt;&lt;/spreads&gt;&lt;spreads&gt;&lt;name&gt;ToCB-Inside pages Book&lt;/name&gt;&lt;pages&gt;&lt;frames&gt;&lt;type&gt;mainStoryFrame&lt;/type&gt;&lt;/frames&gt;&lt;/pages&gt;&lt;pages&gt;&lt;frames&gt;&lt;type&gt;mainStoryFrame&lt;/type&gt;&lt;/frames&gt;&lt;/pages&gt;&lt;/spreads&gt;&lt;spreads&gt;&lt;name&gt;TOCP-Contents Part&lt;/name&gt;&lt;pages&gt;&lt;frames&gt;&lt;type&gt;mainStoryFrame&lt;/type&gt;&lt;/frames&gt;&lt;/pages&gt;&lt;pages&gt;&lt;frames&gt;&lt;type&gt;mainStoryFrame&lt;/type&gt;&lt;/frames&gt;&lt;/pages&gt;&lt;/spreads&gt;&lt;spreads&gt;&lt;name&gt;ToCP-Inside pages Part&lt;/name&gt;&lt;pages&gt;&lt;frames&gt;&lt;type&gt;mainStoryFrame&lt;/type&gt;&lt;/frames&gt;&lt;/pages&gt;&lt;pages&gt;&lt;frames&gt;&lt;type&gt;mainStoryFrame&lt;/type&gt;&lt;/frames&gt;&lt;/pages&gt;&lt;/spreads&gt;&lt;spreads&gt;&lt;name&gt;TOCC-Table of Contents first page Chapter&lt;/name&gt;&lt;pages&gt;&lt;frames&gt;&lt;type&gt;mainStoryFrame&lt;/type&gt;&lt;/frames&gt;&lt;/pages&gt;&lt;pages&gt;&lt;frames&gt;&lt;type&gt;mainStoryFrame&lt;/type&gt;&lt;/frames&gt;&lt;/pages&gt;&lt;/spreads&gt;&lt;spreads&gt;&lt;name&gt;ToCC-Table of Contents inside pages Chapter&lt;/name&gt;&lt;pages&gt;&lt;frames&gt;&lt;type&gt;mainStoryFrame&lt;/type&gt;&lt;/frames&gt;&lt;/pages&gt;&lt;pages&gt;&lt;frames&gt;&lt;type&gt;mainStoryFrame&lt;/type&gt;&lt;/frames&gt;&lt;/pages&gt;&lt;/spreads&gt;&lt;spreads&gt;&lt;name&gt;ToCG-Contents GUIDELINES first page&lt;/name&gt;&lt;pages /&gt;&lt;pages&gt;&lt;frames&gt;&lt;type&gt;tocFrame&lt;/type&gt;&lt;/frames&gt;&lt;/pages&gt;&lt;/spreads&gt;&lt;spreads&gt;&lt;name&gt;ToCG-Contents GUIDELINES&lt;/name&gt;&lt;pages&gt;&lt;frames&gt;&lt;type&gt;tocFrame&lt;/type&gt;&lt;/frames&gt;&lt;/pages&gt;&lt;pages&gt;&lt;frames&gt;&lt;type&gt;tocFrame&lt;/type&gt;&lt;/frames&gt;&lt;/pages&gt;&lt;/spreads&gt;&lt;spreads&gt;&lt;name&gt;TOC-Contents GUIDELINES No indent first page&lt;/name&gt;&lt;pages /&gt;&lt;pages&gt;&lt;frames&gt;&lt;type&gt;tocFrame&lt;/type&gt;&lt;/frames&gt;&lt;/pages&gt;&lt;/spreads&gt;&lt;spreads&gt;&lt;name&gt;TOC-Contents GUIDELINES No indent&lt;/name&gt;&lt;pages&gt;&lt;frames&gt;&lt;type&gt;tocFrame&lt;/type&gt;&lt;/frames&gt;&lt;/pages&gt;&lt;pages&gt;&lt;frames&gt;&lt;type&gt;tocFrame&lt;/type&gt;&lt;/frames&gt;&lt;/pages&gt;&lt;/spreads&gt;&lt;spreads&gt;&lt;name&gt;ToC-Contents CODES first page&lt;/name&gt;&lt;pages /&gt;&lt;pages&gt;&lt;frames&gt;&lt;type&gt;tocFrame&lt;/type&gt;&lt;/frames&gt;&lt;/pages&gt;&lt;/spreads&gt;&lt;spreads&gt;&lt;name&gt;ToC-Contents CODES&lt;/name&gt;&lt;pages&gt;&lt;frames&gt;&lt;type&gt;tocFrame&lt;/type&gt;&lt;/frames&gt;&lt;/pages&gt;&lt;pages&gt;&lt;frames&gt;&lt;type&gt;tocFrame&lt;/type&gt;&lt;/frames&gt;&lt;/pages&gt;&lt;/spreads&gt;&lt;spreads&gt;&lt;name&gt;Pr-Preliminary pages&lt;/name&gt;&lt;pages&gt;&lt;frames&gt;&lt;type&gt;mainStoryFrame&lt;/type&gt;&lt;/frames&gt;&lt;/pages&gt;&lt;pages&gt;&lt;frames&gt;&lt;type&gt;mainStoryFrame&lt;/type&gt;&lt;/frames&gt;&lt;/pages&gt;&lt;/spreads&gt;&lt;spreads&gt;&lt;name&gt;Pr-Preliminary&lt;/name&gt;&lt;pages&gt;&lt;frames&gt;&lt;type&gt;mainStoryFrame&lt;/type&gt;&lt;/frames&gt;&lt;/pages&gt;&lt;pages&gt;&lt;frames&gt;&lt;type&gt;mainStoryFrame&lt;/type&gt;&lt;/frames&gt;&lt;/pages&gt;&lt;/spreads&gt;&lt;spreads&gt;&lt;name&gt;Cfp-Chapter first page&lt;/name&gt;&lt;pages&gt;&lt;frames&gt;&lt;type&gt;mainStoryFrame&lt;/type&gt;&lt;/frames&gt;&lt;/pages&gt;&lt;pages&gt;&lt;frames&gt;&lt;type&gt;mainStoryFrame&lt;/type&gt;&lt;/frames&gt;&lt;/pages&gt;&lt;/spreads&gt;&lt;spreads&gt;&lt;name&gt;IP-Inside pages&lt;/name&gt;&lt;pages&gt;&lt;frames&gt;&lt;type&gt;mainStoryFrame&lt;/type&gt;&lt;/frames&gt;&lt;/pages&gt;&lt;pages&gt;&lt;frames&gt;&lt;type&gt;mainStoryFrame&lt;/type&gt;&lt;/frames&gt;&lt;/pages&gt;&lt;/spreads&gt;&lt;spreads&gt;&lt;name&gt;C-Chapter&lt;/name&gt;&lt;pages&gt;&lt;frames&gt;&lt;type&gt;mainStoryFrame&lt;/type&gt;&lt;/frames&gt;&lt;/pages&gt;&lt;pages&gt;&lt;frames&gt;&lt;type&gt;mainStoryFrame&lt;/type&gt;&lt;/frames&gt;&lt;/pages&gt;&lt;/spreads&gt;&lt;spreads&gt;&lt;name&gt;Ch-Chapter test&lt;/name&gt;&lt;pages&gt;&lt;frames&gt;&lt;type&gt;mainStoryFrame&lt;/type&gt;&lt;/frames&gt;&lt;/pages&gt;&lt;pages&gt;&lt;frames&gt;&lt;type&gt;mainStoryFrame&lt;/type&gt;&lt;/frames&gt;&lt;/pages&gt;&lt;/spreads&gt;&lt;spreads&gt;&lt;name&gt;Cfpl-Chapter first page landscape with title&lt;/name&gt;&lt;pages&gt;&lt;frames&gt;&lt;type&gt;mainStoryFrame&lt;/type&gt;&lt;/frames&gt;&lt;frames&gt;&lt;type&gt;element&lt;/type&gt;&lt;/frames&gt;&lt;/pages&gt;&lt;pages&gt;&lt;frames&gt;&lt;type&gt;mainStoryFrame&lt;/type&gt;&lt;/frames&gt;&lt;frames&gt;&lt;type&gt;element&lt;/type&gt;&lt;/frames&gt;&lt;/pages&gt;&lt;/spreads&gt;&lt;spreads&gt;&lt;name&gt;CfpL-Chapter first page landscape&lt;/name&gt;&lt;pages&gt;&lt;frames&gt;&lt;type&gt;mainStoryFrame&lt;/type&gt;&lt;/frames&gt;&lt;/pages&gt;&lt;pages&gt;&lt;frames&gt;&lt;type&gt;mainStoryFrame&lt;/type&gt;&lt;/frames&gt;&lt;/pages&gt;&lt;/spreads&gt;&lt;spreads&gt;&lt;name&gt;EN-Endnotes&lt;/name&gt;&lt;pages&gt;&lt;frames&gt;&lt;type&gt;endnoteFrame&lt;/type&gt;&lt;/frames&gt;&lt;/pages&gt;&lt;pages&gt;&lt;frames&gt;&lt;type&gt;endnoteFrame&lt;/type&gt;&lt;/frames&gt;&lt;/pages&gt;&lt;/spreads&gt;&lt;spreads&gt;&lt;name&gt;LS-Landscape&lt;/name&gt;&lt;pages&gt;&lt;frames&gt;&lt;type&gt;mainStoryFrame&lt;/type&gt;&lt;/frames&gt;&lt;/pages&gt;&lt;pages&gt;&lt;frames&gt;&lt;type&gt;mainStoryFrame&lt;/type&gt;&lt;/frames&gt;&lt;/pages&gt;&lt;/spreads&gt;&lt;spreads&gt;&lt;name&gt;BC-Back cover&lt;/name&gt;&lt;pages /&gt;&lt;pages /&gt;&lt;/spreads&gt;&lt;spreads&gt;&lt;name&gt;BC-Back cover CSG&lt;/name&gt;&lt;pages /&gt;&lt;pages /&gt;&lt;/spreads&gt;&lt;spreads&gt;&lt;name&gt;T-Tables&lt;/name&gt;&lt;pages /&gt;&lt;pages /&gt;&lt;/spreads&gt;&lt;spreads&gt;&lt;name&gt;T-Tables 2&lt;/name&gt;&lt;pages /&gt;&lt;pages /&gt;&lt;/spreads&gt;&lt;spreads&gt;&lt;name&gt;IM-Image&lt;/name&gt;&lt;pages /&gt;&lt;pages /&gt;&lt;/spreads&gt;&lt;spreads&gt;&lt;name&gt;IM2-Master&lt;/name&gt;&lt;pages /&gt;&lt;pages /&gt;&lt;/spreads&gt;&lt;spreads&gt;&lt;name&gt;IM3-image2&lt;/name&gt;&lt;pages /&gt;&lt;pages /&gt;&lt;/spreads&gt;&lt;spreads&gt;&lt;name&gt;IM4-Image3&lt;/name&gt;&lt;pages /&gt;&lt;pages /&gt;&lt;/spreads&gt;&lt;spreads&gt;&lt;name&gt;IM4-Image4&lt;/name&gt;&lt;pages /&gt;&lt;pages /&gt;&lt;/spreads&gt;&lt;spreads&gt;&lt;name&gt;El-Elements 1&lt;/name&gt;&lt;pages /&gt;&lt;pages /&gt;&lt;/spreads&gt;&lt;spreads&gt;&lt;name&gt;FLH-Figure Landscape header&lt;/name&gt;&lt;pages /&gt;&lt;pages /&gt;&lt;/spreads&gt;&lt;spreads&gt;&lt;name&gt;D-Divider page&lt;/name&gt;&lt;pages&gt;&lt;frames&gt;&lt;type&gt;mainStoryFrame&lt;/type&gt;&lt;/frames&gt;&lt;/pages&gt;&lt;pages&gt;&lt;frames&gt;&lt;type&gt;mainStoryFrame&lt;/type&gt;&lt;/frames&gt;&lt;/pages&gt;&lt;/spreads&gt;&lt;spreads&gt;&lt;name&gt;Z-Conditional spacing&lt;/name&gt;&lt;pages /&gt;&lt;pages /&gt;&lt;/spreads&gt;&lt;spreads&gt;&lt;name&gt;XC-Conditional keeps&lt;/name&gt;&lt;pages /&gt;&lt;pages /&gt;&lt;pages /&gt;&lt;pages /&gt;&lt;pages /&gt;&lt;pages /&gt;&lt;pages /&gt;&lt;pages /&gt;&lt;/spreads&gt;&lt;spreads&gt;&lt;name&gt;ePub-Back_cover&lt;/name&gt;&lt;pages /&gt;&lt;pages /&gt;&lt;/spreads&gt;&lt;spreads&gt;&lt;name&gt;XX-Avoid Short End Lines&lt;/name&gt;&lt;pages /&gt;&lt;pages /&gt;&lt;/spreads&gt;&lt;spreads&gt;&lt;name&gt;Mo-Modifications&lt;/name&gt;&lt;pages /&gt;&lt;pages /&gt;&lt;pages /&gt;&lt;pages /&gt;&lt;pages /&gt;&lt;pages /&gt;&lt;pages /&gt;&lt;pages /&gt;&lt;pages /&gt;&lt;pages /&gt;&lt;/spreads&gt;&lt;/tss&gt;"/>
  </w:docVars>
  <w:rsids>
    <w:rsidRoot w:val="00BD6BAA"/>
    <w:rsid w:val="00000DBF"/>
    <w:rsid w:val="0000150D"/>
    <w:rsid w:val="000018C9"/>
    <w:rsid w:val="00001CC3"/>
    <w:rsid w:val="00001E84"/>
    <w:rsid w:val="000021B6"/>
    <w:rsid w:val="000029D9"/>
    <w:rsid w:val="00004644"/>
    <w:rsid w:val="0000513B"/>
    <w:rsid w:val="00005608"/>
    <w:rsid w:val="00005AA3"/>
    <w:rsid w:val="00005B2D"/>
    <w:rsid w:val="00005DF7"/>
    <w:rsid w:val="00007039"/>
    <w:rsid w:val="0000774B"/>
    <w:rsid w:val="000079D8"/>
    <w:rsid w:val="00007F04"/>
    <w:rsid w:val="000103AA"/>
    <w:rsid w:val="0001091E"/>
    <w:rsid w:val="00010954"/>
    <w:rsid w:val="0001204B"/>
    <w:rsid w:val="00013058"/>
    <w:rsid w:val="00013B00"/>
    <w:rsid w:val="00013B62"/>
    <w:rsid w:val="000144D9"/>
    <w:rsid w:val="000156C2"/>
    <w:rsid w:val="000156FE"/>
    <w:rsid w:val="00015F3E"/>
    <w:rsid w:val="0001605F"/>
    <w:rsid w:val="000169BE"/>
    <w:rsid w:val="00016DEC"/>
    <w:rsid w:val="000177E4"/>
    <w:rsid w:val="00020399"/>
    <w:rsid w:val="000206A8"/>
    <w:rsid w:val="00020A86"/>
    <w:rsid w:val="00022452"/>
    <w:rsid w:val="000224EA"/>
    <w:rsid w:val="00022704"/>
    <w:rsid w:val="00022CB6"/>
    <w:rsid w:val="00023303"/>
    <w:rsid w:val="00024A79"/>
    <w:rsid w:val="00024AAC"/>
    <w:rsid w:val="00024D45"/>
    <w:rsid w:val="00024DCB"/>
    <w:rsid w:val="000250A2"/>
    <w:rsid w:val="000250B1"/>
    <w:rsid w:val="000253B8"/>
    <w:rsid w:val="00025DEC"/>
    <w:rsid w:val="00025EFC"/>
    <w:rsid w:val="00027291"/>
    <w:rsid w:val="0003137A"/>
    <w:rsid w:val="000314AF"/>
    <w:rsid w:val="00031569"/>
    <w:rsid w:val="00033A86"/>
    <w:rsid w:val="00033AD2"/>
    <w:rsid w:val="00033DDD"/>
    <w:rsid w:val="00034CC6"/>
    <w:rsid w:val="00035717"/>
    <w:rsid w:val="000379DC"/>
    <w:rsid w:val="00037A24"/>
    <w:rsid w:val="0004077B"/>
    <w:rsid w:val="00040AF8"/>
    <w:rsid w:val="00040F46"/>
    <w:rsid w:val="00040FED"/>
    <w:rsid w:val="00041168"/>
    <w:rsid w:val="00041171"/>
    <w:rsid w:val="00041501"/>
    <w:rsid w:val="00041696"/>
    <w:rsid w:val="00041727"/>
    <w:rsid w:val="00041758"/>
    <w:rsid w:val="00041E61"/>
    <w:rsid w:val="0004226F"/>
    <w:rsid w:val="00042751"/>
    <w:rsid w:val="000433F0"/>
    <w:rsid w:val="00043DFC"/>
    <w:rsid w:val="000442C4"/>
    <w:rsid w:val="00050F8E"/>
    <w:rsid w:val="000518BB"/>
    <w:rsid w:val="00051C60"/>
    <w:rsid w:val="000524FD"/>
    <w:rsid w:val="00052CCE"/>
    <w:rsid w:val="000530D2"/>
    <w:rsid w:val="00053E6D"/>
    <w:rsid w:val="00054251"/>
    <w:rsid w:val="000542D3"/>
    <w:rsid w:val="000543E4"/>
    <w:rsid w:val="0005476C"/>
    <w:rsid w:val="00054CB2"/>
    <w:rsid w:val="00054E1C"/>
    <w:rsid w:val="0005570C"/>
    <w:rsid w:val="00056151"/>
    <w:rsid w:val="00056BF3"/>
    <w:rsid w:val="00057274"/>
    <w:rsid w:val="000573AD"/>
    <w:rsid w:val="00057590"/>
    <w:rsid w:val="0005796F"/>
    <w:rsid w:val="00057DDD"/>
    <w:rsid w:val="000605D3"/>
    <w:rsid w:val="00062A95"/>
    <w:rsid w:val="000633D8"/>
    <w:rsid w:val="000641C2"/>
    <w:rsid w:val="000641E1"/>
    <w:rsid w:val="00064915"/>
    <w:rsid w:val="00064F6B"/>
    <w:rsid w:val="00065781"/>
    <w:rsid w:val="00065BDC"/>
    <w:rsid w:val="00066EC7"/>
    <w:rsid w:val="00067457"/>
    <w:rsid w:val="00067A66"/>
    <w:rsid w:val="00067DD3"/>
    <w:rsid w:val="00067FB3"/>
    <w:rsid w:val="00070DEE"/>
    <w:rsid w:val="00071AB9"/>
    <w:rsid w:val="0007211C"/>
    <w:rsid w:val="0007238D"/>
    <w:rsid w:val="00072F17"/>
    <w:rsid w:val="00074576"/>
    <w:rsid w:val="000746A8"/>
    <w:rsid w:val="00074D0A"/>
    <w:rsid w:val="0007537A"/>
    <w:rsid w:val="00075C67"/>
    <w:rsid w:val="00075F44"/>
    <w:rsid w:val="000762D5"/>
    <w:rsid w:val="00076B44"/>
    <w:rsid w:val="000806D8"/>
    <w:rsid w:val="000807DD"/>
    <w:rsid w:val="00080F4F"/>
    <w:rsid w:val="00082641"/>
    <w:rsid w:val="00082667"/>
    <w:rsid w:val="00082C80"/>
    <w:rsid w:val="00083847"/>
    <w:rsid w:val="00083C36"/>
    <w:rsid w:val="00084751"/>
    <w:rsid w:val="0008568D"/>
    <w:rsid w:val="00085791"/>
    <w:rsid w:val="000860BC"/>
    <w:rsid w:val="0008612B"/>
    <w:rsid w:val="00086347"/>
    <w:rsid w:val="00087F5D"/>
    <w:rsid w:val="00090111"/>
    <w:rsid w:val="000903E7"/>
    <w:rsid w:val="0009046A"/>
    <w:rsid w:val="00090ADB"/>
    <w:rsid w:val="00090D86"/>
    <w:rsid w:val="0009170F"/>
    <w:rsid w:val="00091BEE"/>
    <w:rsid w:val="00091EA9"/>
    <w:rsid w:val="00092C6D"/>
    <w:rsid w:val="00092DDF"/>
    <w:rsid w:val="000931ED"/>
    <w:rsid w:val="00093720"/>
    <w:rsid w:val="0009375E"/>
    <w:rsid w:val="00094CFC"/>
    <w:rsid w:val="00095E48"/>
    <w:rsid w:val="000967ED"/>
    <w:rsid w:val="00096B42"/>
    <w:rsid w:val="00096E7F"/>
    <w:rsid w:val="00097230"/>
    <w:rsid w:val="000A0043"/>
    <w:rsid w:val="000A004C"/>
    <w:rsid w:val="000A074E"/>
    <w:rsid w:val="000A08F4"/>
    <w:rsid w:val="000A1BAB"/>
    <w:rsid w:val="000A1EE9"/>
    <w:rsid w:val="000A2245"/>
    <w:rsid w:val="000A2AFE"/>
    <w:rsid w:val="000A2B94"/>
    <w:rsid w:val="000A491E"/>
    <w:rsid w:val="000A5A05"/>
    <w:rsid w:val="000A627B"/>
    <w:rsid w:val="000A6707"/>
    <w:rsid w:val="000A699A"/>
    <w:rsid w:val="000A69B2"/>
    <w:rsid w:val="000A69BF"/>
    <w:rsid w:val="000A6A18"/>
    <w:rsid w:val="000A6AB3"/>
    <w:rsid w:val="000A7CF1"/>
    <w:rsid w:val="000B0118"/>
    <w:rsid w:val="000B0151"/>
    <w:rsid w:val="000B0551"/>
    <w:rsid w:val="000B15F4"/>
    <w:rsid w:val="000B18F7"/>
    <w:rsid w:val="000B2ABC"/>
    <w:rsid w:val="000B2D7D"/>
    <w:rsid w:val="000B33CA"/>
    <w:rsid w:val="000B3742"/>
    <w:rsid w:val="000B4E3B"/>
    <w:rsid w:val="000B5E13"/>
    <w:rsid w:val="000B619F"/>
    <w:rsid w:val="000B67AB"/>
    <w:rsid w:val="000B70DC"/>
    <w:rsid w:val="000B78C8"/>
    <w:rsid w:val="000B7B3E"/>
    <w:rsid w:val="000B7F2C"/>
    <w:rsid w:val="000C03CC"/>
    <w:rsid w:val="000C11EA"/>
    <w:rsid w:val="000C1460"/>
    <w:rsid w:val="000C1722"/>
    <w:rsid w:val="000C225A"/>
    <w:rsid w:val="000C2BDC"/>
    <w:rsid w:val="000C328C"/>
    <w:rsid w:val="000C37B1"/>
    <w:rsid w:val="000C4497"/>
    <w:rsid w:val="000C471C"/>
    <w:rsid w:val="000C5156"/>
    <w:rsid w:val="000C665B"/>
    <w:rsid w:val="000C6781"/>
    <w:rsid w:val="000D0ECC"/>
    <w:rsid w:val="000D1027"/>
    <w:rsid w:val="000D1142"/>
    <w:rsid w:val="000D2418"/>
    <w:rsid w:val="000D245E"/>
    <w:rsid w:val="000D28B9"/>
    <w:rsid w:val="000D28E1"/>
    <w:rsid w:val="000D32F7"/>
    <w:rsid w:val="000D3DE5"/>
    <w:rsid w:val="000D5C93"/>
    <w:rsid w:val="000D625C"/>
    <w:rsid w:val="000D701F"/>
    <w:rsid w:val="000D746B"/>
    <w:rsid w:val="000D78BA"/>
    <w:rsid w:val="000E129B"/>
    <w:rsid w:val="000E1765"/>
    <w:rsid w:val="000E21AC"/>
    <w:rsid w:val="000E3244"/>
    <w:rsid w:val="000E347D"/>
    <w:rsid w:val="000E4473"/>
    <w:rsid w:val="000E4AFE"/>
    <w:rsid w:val="000E740E"/>
    <w:rsid w:val="000E7D59"/>
    <w:rsid w:val="000F0C2B"/>
    <w:rsid w:val="000F1258"/>
    <w:rsid w:val="000F231E"/>
    <w:rsid w:val="000F2E11"/>
    <w:rsid w:val="000F3261"/>
    <w:rsid w:val="000F35ED"/>
    <w:rsid w:val="000F4139"/>
    <w:rsid w:val="000F4359"/>
    <w:rsid w:val="000F4C17"/>
    <w:rsid w:val="000F4FF5"/>
    <w:rsid w:val="000F5169"/>
    <w:rsid w:val="000F5813"/>
    <w:rsid w:val="000F5E49"/>
    <w:rsid w:val="000F649A"/>
    <w:rsid w:val="000F711F"/>
    <w:rsid w:val="000F7653"/>
    <w:rsid w:val="000F781C"/>
    <w:rsid w:val="000F7A87"/>
    <w:rsid w:val="000F7EC1"/>
    <w:rsid w:val="00100344"/>
    <w:rsid w:val="00100ED2"/>
    <w:rsid w:val="001014C6"/>
    <w:rsid w:val="001014D4"/>
    <w:rsid w:val="001015AB"/>
    <w:rsid w:val="001015FD"/>
    <w:rsid w:val="00101FD6"/>
    <w:rsid w:val="001029E8"/>
    <w:rsid w:val="00102EAE"/>
    <w:rsid w:val="001030C2"/>
    <w:rsid w:val="001032F7"/>
    <w:rsid w:val="0010480F"/>
    <w:rsid w:val="001048C2"/>
    <w:rsid w:val="00104DD9"/>
    <w:rsid w:val="0010513C"/>
    <w:rsid w:val="00105D2E"/>
    <w:rsid w:val="00106015"/>
    <w:rsid w:val="001067E0"/>
    <w:rsid w:val="00106A35"/>
    <w:rsid w:val="00107459"/>
    <w:rsid w:val="00107693"/>
    <w:rsid w:val="00107D2C"/>
    <w:rsid w:val="00107F18"/>
    <w:rsid w:val="0011072B"/>
    <w:rsid w:val="001113D1"/>
    <w:rsid w:val="00111BFD"/>
    <w:rsid w:val="00111D70"/>
    <w:rsid w:val="0011331E"/>
    <w:rsid w:val="001140EF"/>
    <w:rsid w:val="00114523"/>
    <w:rsid w:val="0011498B"/>
    <w:rsid w:val="00115B4E"/>
    <w:rsid w:val="00115C86"/>
    <w:rsid w:val="00120147"/>
    <w:rsid w:val="001204F6"/>
    <w:rsid w:val="00120F6F"/>
    <w:rsid w:val="00122190"/>
    <w:rsid w:val="00122FC7"/>
    <w:rsid w:val="00123140"/>
    <w:rsid w:val="001233B7"/>
    <w:rsid w:val="00123A95"/>
    <w:rsid w:val="00123D94"/>
    <w:rsid w:val="0012400D"/>
    <w:rsid w:val="00124081"/>
    <w:rsid w:val="0012474D"/>
    <w:rsid w:val="00124CCA"/>
    <w:rsid w:val="00124D93"/>
    <w:rsid w:val="00126256"/>
    <w:rsid w:val="00126F25"/>
    <w:rsid w:val="001278B3"/>
    <w:rsid w:val="001308AF"/>
    <w:rsid w:val="00130CE8"/>
    <w:rsid w:val="00130F2C"/>
    <w:rsid w:val="001313A7"/>
    <w:rsid w:val="001314C7"/>
    <w:rsid w:val="0013183D"/>
    <w:rsid w:val="00132922"/>
    <w:rsid w:val="00132C5F"/>
    <w:rsid w:val="00132E12"/>
    <w:rsid w:val="001335F0"/>
    <w:rsid w:val="00134FB9"/>
    <w:rsid w:val="00137731"/>
    <w:rsid w:val="001377B2"/>
    <w:rsid w:val="00137EB7"/>
    <w:rsid w:val="0014029C"/>
    <w:rsid w:val="00140365"/>
    <w:rsid w:val="00140FED"/>
    <w:rsid w:val="00141780"/>
    <w:rsid w:val="001417E7"/>
    <w:rsid w:val="0014195F"/>
    <w:rsid w:val="00141ABE"/>
    <w:rsid w:val="00141B14"/>
    <w:rsid w:val="00142491"/>
    <w:rsid w:val="00143642"/>
    <w:rsid w:val="00144F59"/>
    <w:rsid w:val="00145196"/>
    <w:rsid w:val="0014546A"/>
    <w:rsid w:val="00145D6F"/>
    <w:rsid w:val="00146696"/>
    <w:rsid w:val="00147711"/>
    <w:rsid w:val="00150E39"/>
    <w:rsid w:val="00151AA5"/>
    <w:rsid w:val="0015286D"/>
    <w:rsid w:val="00153128"/>
    <w:rsid w:val="0015359D"/>
    <w:rsid w:val="00153C95"/>
    <w:rsid w:val="001542C3"/>
    <w:rsid w:val="001557B9"/>
    <w:rsid w:val="00155C4B"/>
    <w:rsid w:val="001567E6"/>
    <w:rsid w:val="00156DE2"/>
    <w:rsid w:val="00156F9B"/>
    <w:rsid w:val="00157812"/>
    <w:rsid w:val="00160D34"/>
    <w:rsid w:val="00160DF4"/>
    <w:rsid w:val="00160EB5"/>
    <w:rsid w:val="00162387"/>
    <w:rsid w:val="001624E8"/>
    <w:rsid w:val="001638A6"/>
    <w:rsid w:val="00163BA3"/>
    <w:rsid w:val="00164493"/>
    <w:rsid w:val="00165D52"/>
    <w:rsid w:val="001666AF"/>
    <w:rsid w:val="00166A22"/>
    <w:rsid w:val="00166B31"/>
    <w:rsid w:val="001673F4"/>
    <w:rsid w:val="00167D54"/>
    <w:rsid w:val="00167DE6"/>
    <w:rsid w:val="00171BC2"/>
    <w:rsid w:val="00171DFF"/>
    <w:rsid w:val="0017211A"/>
    <w:rsid w:val="001724ED"/>
    <w:rsid w:val="001726AC"/>
    <w:rsid w:val="001727AD"/>
    <w:rsid w:val="00172878"/>
    <w:rsid w:val="00172F33"/>
    <w:rsid w:val="001730DE"/>
    <w:rsid w:val="0017320A"/>
    <w:rsid w:val="0017360F"/>
    <w:rsid w:val="00174BCB"/>
    <w:rsid w:val="001753B2"/>
    <w:rsid w:val="001761B0"/>
    <w:rsid w:val="00176AE3"/>
    <w:rsid w:val="001774E5"/>
    <w:rsid w:val="0018049A"/>
    <w:rsid w:val="00180771"/>
    <w:rsid w:val="001817AF"/>
    <w:rsid w:val="00182B89"/>
    <w:rsid w:val="00182D3A"/>
    <w:rsid w:val="001838BA"/>
    <w:rsid w:val="00184F1B"/>
    <w:rsid w:val="001868CD"/>
    <w:rsid w:val="00187393"/>
    <w:rsid w:val="00187760"/>
    <w:rsid w:val="00190241"/>
    <w:rsid w:val="00190579"/>
    <w:rsid w:val="00191545"/>
    <w:rsid w:val="001926BA"/>
    <w:rsid w:val="001929D4"/>
    <w:rsid w:val="00192C16"/>
    <w:rsid w:val="001930A3"/>
    <w:rsid w:val="00193CC5"/>
    <w:rsid w:val="00194192"/>
    <w:rsid w:val="0019594B"/>
    <w:rsid w:val="001959FE"/>
    <w:rsid w:val="00195A02"/>
    <w:rsid w:val="00195CC6"/>
    <w:rsid w:val="001968BE"/>
    <w:rsid w:val="00196B12"/>
    <w:rsid w:val="00196EB8"/>
    <w:rsid w:val="00196F1A"/>
    <w:rsid w:val="001A0245"/>
    <w:rsid w:val="001A060E"/>
    <w:rsid w:val="001A0814"/>
    <w:rsid w:val="001A0F90"/>
    <w:rsid w:val="001A2B9C"/>
    <w:rsid w:val="001A341E"/>
    <w:rsid w:val="001A386A"/>
    <w:rsid w:val="001A3B5B"/>
    <w:rsid w:val="001A5389"/>
    <w:rsid w:val="001A63EE"/>
    <w:rsid w:val="001A684D"/>
    <w:rsid w:val="001B0259"/>
    <w:rsid w:val="001B0EA6"/>
    <w:rsid w:val="001B1C2A"/>
    <w:rsid w:val="001B1CDF"/>
    <w:rsid w:val="001B3AE2"/>
    <w:rsid w:val="001B3CCC"/>
    <w:rsid w:val="001B3E83"/>
    <w:rsid w:val="001B413F"/>
    <w:rsid w:val="001B4B1C"/>
    <w:rsid w:val="001B4D92"/>
    <w:rsid w:val="001B52F2"/>
    <w:rsid w:val="001B56F4"/>
    <w:rsid w:val="001B5886"/>
    <w:rsid w:val="001B5B43"/>
    <w:rsid w:val="001B71F3"/>
    <w:rsid w:val="001B735D"/>
    <w:rsid w:val="001C02DE"/>
    <w:rsid w:val="001C0B81"/>
    <w:rsid w:val="001C1322"/>
    <w:rsid w:val="001C1CD1"/>
    <w:rsid w:val="001C1D43"/>
    <w:rsid w:val="001C325D"/>
    <w:rsid w:val="001C4BE2"/>
    <w:rsid w:val="001C5462"/>
    <w:rsid w:val="001C5ADD"/>
    <w:rsid w:val="001C5C94"/>
    <w:rsid w:val="001C779B"/>
    <w:rsid w:val="001C7911"/>
    <w:rsid w:val="001C7B87"/>
    <w:rsid w:val="001D0D1E"/>
    <w:rsid w:val="001D1A9E"/>
    <w:rsid w:val="001D2576"/>
    <w:rsid w:val="001D265C"/>
    <w:rsid w:val="001D2703"/>
    <w:rsid w:val="001D3062"/>
    <w:rsid w:val="001D3CFB"/>
    <w:rsid w:val="001D449A"/>
    <w:rsid w:val="001D4705"/>
    <w:rsid w:val="001D5454"/>
    <w:rsid w:val="001D559B"/>
    <w:rsid w:val="001D56DE"/>
    <w:rsid w:val="001D5ED5"/>
    <w:rsid w:val="001D6097"/>
    <w:rsid w:val="001D6302"/>
    <w:rsid w:val="001D6421"/>
    <w:rsid w:val="001D72C5"/>
    <w:rsid w:val="001D735A"/>
    <w:rsid w:val="001D736E"/>
    <w:rsid w:val="001E2098"/>
    <w:rsid w:val="001E23C2"/>
    <w:rsid w:val="001E24A3"/>
    <w:rsid w:val="001E264B"/>
    <w:rsid w:val="001E2E44"/>
    <w:rsid w:val="001E3AD5"/>
    <w:rsid w:val="001E3E83"/>
    <w:rsid w:val="001E3FBB"/>
    <w:rsid w:val="001E4A32"/>
    <w:rsid w:val="001E7089"/>
    <w:rsid w:val="001E740C"/>
    <w:rsid w:val="001E7DD0"/>
    <w:rsid w:val="001E7DF6"/>
    <w:rsid w:val="001E7E03"/>
    <w:rsid w:val="001E7FEE"/>
    <w:rsid w:val="001F0986"/>
    <w:rsid w:val="001F0A94"/>
    <w:rsid w:val="001F0F83"/>
    <w:rsid w:val="001F174C"/>
    <w:rsid w:val="001F1BDA"/>
    <w:rsid w:val="001F2ABC"/>
    <w:rsid w:val="001F37B4"/>
    <w:rsid w:val="001F46F1"/>
    <w:rsid w:val="001F521E"/>
    <w:rsid w:val="001F6B3B"/>
    <w:rsid w:val="002002EE"/>
    <w:rsid w:val="0020095E"/>
    <w:rsid w:val="00200987"/>
    <w:rsid w:val="002013A5"/>
    <w:rsid w:val="00201487"/>
    <w:rsid w:val="002020D9"/>
    <w:rsid w:val="0020253A"/>
    <w:rsid w:val="002040FF"/>
    <w:rsid w:val="002042EB"/>
    <w:rsid w:val="00204EF9"/>
    <w:rsid w:val="00205654"/>
    <w:rsid w:val="0020662E"/>
    <w:rsid w:val="002077EE"/>
    <w:rsid w:val="00207B04"/>
    <w:rsid w:val="00210A44"/>
    <w:rsid w:val="00210D30"/>
    <w:rsid w:val="00211320"/>
    <w:rsid w:val="00211956"/>
    <w:rsid w:val="002157D6"/>
    <w:rsid w:val="00215DC3"/>
    <w:rsid w:val="002178F2"/>
    <w:rsid w:val="00217B94"/>
    <w:rsid w:val="002200B9"/>
    <w:rsid w:val="002204FD"/>
    <w:rsid w:val="0022116C"/>
    <w:rsid w:val="00221AED"/>
    <w:rsid w:val="00221DEF"/>
    <w:rsid w:val="00222FFB"/>
    <w:rsid w:val="00224C2C"/>
    <w:rsid w:val="00224D76"/>
    <w:rsid w:val="00226830"/>
    <w:rsid w:val="00226862"/>
    <w:rsid w:val="00226B4E"/>
    <w:rsid w:val="00226B77"/>
    <w:rsid w:val="00226F87"/>
    <w:rsid w:val="0022704B"/>
    <w:rsid w:val="002277CC"/>
    <w:rsid w:val="00227CFF"/>
    <w:rsid w:val="00227E41"/>
    <w:rsid w:val="002308B5"/>
    <w:rsid w:val="002329F5"/>
    <w:rsid w:val="00232A26"/>
    <w:rsid w:val="00233607"/>
    <w:rsid w:val="00233B43"/>
    <w:rsid w:val="002349CE"/>
    <w:rsid w:val="00234A34"/>
    <w:rsid w:val="00235B3F"/>
    <w:rsid w:val="002370AF"/>
    <w:rsid w:val="002374B0"/>
    <w:rsid w:val="00237BAD"/>
    <w:rsid w:val="00237DEA"/>
    <w:rsid w:val="00237E22"/>
    <w:rsid w:val="00240069"/>
    <w:rsid w:val="002409F7"/>
    <w:rsid w:val="002434F3"/>
    <w:rsid w:val="00243CD0"/>
    <w:rsid w:val="002456F0"/>
    <w:rsid w:val="00247C5A"/>
    <w:rsid w:val="00247F3F"/>
    <w:rsid w:val="0025035E"/>
    <w:rsid w:val="00250CFF"/>
    <w:rsid w:val="00250DD7"/>
    <w:rsid w:val="00251D7E"/>
    <w:rsid w:val="00252182"/>
    <w:rsid w:val="00252316"/>
    <w:rsid w:val="0025255D"/>
    <w:rsid w:val="0025375C"/>
    <w:rsid w:val="00255416"/>
    <w:rsid w:val="00255EE3"/>
    <w:rsid w:val="00256207"/>
    <w:rsid w:val="00256276"/>
    <w:rsid w:val="0025644E"/>
    <w:rsid w:val="00256922"/>
    <w:rsid w:val="00257289"/>
    <w:rsid w:val="00257BD4"/>
    <w:rsid w:val="00257E2D"/>
    <w:rsid w:val="0026043F"/>
    <w:rsid w:val="00263145"/>
    <w:rsid w:val="002631E6"/>
    <w:rsid w:val="00263524"/>
    <w:rsid w:val="002638F5"/>
    <w:rsid w:val="00263B62"/>
    <w:rsid w:val="00263E28"/>
    <w:rsid w:val="00264255"/>
    <w:rsid w:val="00264B3D"/>
    <w:rsid w:val="002652E8"/>
    <w:rsid w:val="002656B7"/>
    <w:rsid w:val="00266356"/>
    <w:rsid w:val="00266CB9"/>
    <w:rsid w:val="00266E86"/>
    <w:rsid w:val="00267276"/>
    <w:rsid w:val="0026743C"/>
    <w:rsid w:val="00270480"/>
    <w:rsid w:val="0027098F"/>
    <w:rsid w:val="00270C4B"/>
    <w:rsid w:val="002718D6"/>
    <w:rsid w:val="0027266F"/>
    <w:rsid w:val="0027352E"/>
    <w:rsid w:val="002754F9"/>
    <w:rsid w:val="00275583"/>
    <w:rsid w:val="002760E8"/>
    <w:rsid w:val="00276EAC"/>
    <w:rsid w:val="00277070"/>
    <w:rsid w:val="002779AF"/>
    <w:rsid w:val="00280285"/>
    <w:rsid w:val="00280511"/>
    <w:rsid w:val="00280C29"/>
    <w:rsid w:val="00280C75"/>
    <w:rsid w:val="00280E03"/>
    <w:rsid w:val="00281304"/>
    <w:rsid w:val="002823D8"/>
    <w:rsid w:val="0028245C"/>
    <w:rsid w:val="002834E3"/>
    <w:rsid w:val="002835C1"/>
    <w:rsid w:val="002838D1"/>
    <w:rsid w:val="00284ABD"/>
    <w:rsid w:val="00285106"/>
    <w:rsid w:val="0028531A"/>
    <w:rsid w:val="00285446"/>
    <w:rsid w:val="00285C04"/>
    <w:rsid w:val="002861CB"/>
    <w:rsid w:val="002866EC"/>
    <w:rsid w:val="00286945"/>
    <w:rsid w:val="002869DF"/>
    <w:rsid w:val="00287227"/>
    <w:rsid w:val="00287350"/>
    <w:rsid w:val="00287C72"/>
    <w:rsid w:val="00291092"/>
    <w:rsid w:val="002916B2"/>
    <w:rsid w:val="00292F42"/>
    <w:rsid w:val="00293131"/>
    <w:rsid w:val="00294C1A"/>
    <w:rsid w:val="00295593"/>
    <w:rsid w:val="0029588D"/>
    <w:rsid w:val="0029588F"/>
    <w:rsid w:val="00295C2F"/>
    <w:rsid w:val="00295DA5"/>
    <w:rsid w:val="00295DDA"/>
    <w:rsid w:val="00296CC4"/>
    <w:rsid w:val="00296FEC"/>
    <w:rsid w:val="00297823"/>
    <w:rsid w:val="00297E32"/>
    <w:rsid w:val="002A1513"/>
    <w:rsid w:val="002A1C8F"/>
    <w:rsid w:val="002A1E2B"/>
    <w:rsid w:val="002A335F"/>
    <w:rsid w:val="002A354F"/>
    <w:rsid w:val="002A386C"/>
    <w:rsid w:val="002A4545"/>
    <w:rsid w:val="002A469C"/>
    <w:rsid w:val="002A6F97"/>
    <w:rsid w:val="002B0331"/>
    <w:rsid w:val="002B0470"/>
    <w:rsid w:val="002B059E"/>
    <w:rsid w:val="002B0B34"/>
    <w:rsid w:val="002B0FC8"/>
    <w:rsid w:val="002B104B"/>
    <w:rsid w:val="002B2907"/>
    <w:rsid w:val="002B2BB7"/>
    <w:rsid w:val="002B318B"/>
    <w:rsid w:val="002B3BCE"/>
    <w:rsid w:val="002B3F25"/>
    <w:rsid w:val="002B403C"/>
    <w:rsid w:val="002B540D"/>
    <w:rsid w:val="002B568B"/>
    <w:rsid w:val="002B5864"/>
    <w:rsid w:val="002B656C"/>
    <w:rsid w:val="002C0996"/>
    <w:rsid w:val="002C09A6"/>
    <w:rsid w:val="002C153E"/>
    <w:rsid w:val="002C1AB2"/>
    <w:rsid w:val="002C1E4C"/>
    <w:rsid w:val="002C2323"/>
    <w:rsid w:val="002C262F"/>
    <w:rsid w:val="002C30BC"/>
    <w:rsid w:val="002C3479"/>
    <w:rsid w:val="002C34F0"/>
    <w:rsid w:val="002C3F10"/>
    <w:rsid w:val="002C4417"/>
    <w:rsid w:val="002C46CE"/>
    <w:rsid w:val="002C52AE"/>
    <w:rsid w:val="002C5965"/>
    <w:rsid w:val="002C6404"/>
    <w:rsid w:val="002C6C4E"/>
    <w:rsid w:val="002C7A88"/>
    <w:rsid w:val="002D05AF"/>
    <w:rsid w:val="002D066E"/>
    <w:rsid w:val="002D08DE"/>
    <w:rsid w:val="002D0979"/>
    <w:rsid w:val="002D0DF8"/>
    <w:rsid w:val="002D1054"/>
    <w:rsid w:val="002D1AAA"/>
    <w:rsid w:val="002D232B"/>
    <w:rsid w:val="002D2759"/>
    <w:rsid w:val="002D29DF"/>
    <w:rsid w:val="002D37E3"/>
    <w:rsid w:val="002D37EF"/>
    <w:rsid w:val="002D3A85"/>
    <w:rsid w:val="002D42A6"/>
    <w:rsid w:val="002D5E00"/>
    <w:rsid w:val="002D6DAC"/>
    <w:rsid w:val="002D7E31"/>
    <w:rsid w:val="002E014C"/>
    <w:rsid w:val="002E2267"/>
    <w:rsid w:val="002E261D"/>
    <w:rsid w:val="002E33E6"/>
    <w:rsid w:val="002E3AE3"/>
    <w:rsid w:val="002E3D4F"/>
    <w:rsid w:val="002E3FAD"/>
    <w:rsid w:val="002E4670"/>
    <w:rsid w:val="002E4E16"/>
    <w:rsid w:val="002E58FA"/>
    <w:rsid w:val="002E5FF5"/>
    <w:rsid w:val="002E6448"/>
    <w:rsid w:val="002E6555"/>
    <w:rsid w:val="002E6627"/>
    <w:rsid w:val="002E7C9B"/>
    <w:rsid w:val="002F097D"/>
    <w:rsid w:val="002F17C9"/>
    <w:rsid w:val="002F30EB"/>
    <w:rsid w:val="002F3C69"/>
    <w:rsid w:val="002F3F41"/>
    <w:rsid w:val="002F6DAC"/>
    <w:rsid w:val="002F7B75"/>
    <w:rsid w:val="003004E5"/>
    <w:rsid w:val="003013A6"/>
    <w:rsid w:val="00301811"/>
    <w:rsid w:val="00301914"/>
    <w:rsid w:val="00301D0D"/>
    <w:rsid w:val="00301DAB"/>
    <w:rsid w:val="00301E8C"/>
    <w:rsid w:val="00302A09"/>
    <w:rsid w:val="00302DFC"/>
    <w:rsid w:val="00302FDA"/>
    <w:rsid w:val="00302FE7"/>
    <w:rsid w:val="00304818"/>
    <w:rsid w:val="003053C4"/>
    <w:rsid w:val="003055CE"/>
    <w:rsid w:val="00306DC1"/>
    <w:rsid w:val="003075E4"/>
    <w:rsid w:val="00307939"/>
    <w:rsid w:val="00307ABF"/>
    <w:rsid w:val="00307B2D"/>
    <w:rsid w:val="0031057E"/>
    <w:rsid w:val="003114FC"/>
    <w:rsid w:val="0031412B"/>
    <w:rsid w:val="00314389"/>
    <w:rsid w:val="003146E9"/>
    <w:rsid w:val="00314BC5"/>
    <w:rsid w:val="00314D5D"/>
    <w:rsid w:val="003150F2"/>
    <w:rsid w:val="00315560"/>
    <w:rsid w:val="00315784"/>
    <w:rsid w:val="0031721F"/>
    <w:rsid w:val="00317D4D"/>
    <w:rsid w:val="00320009"/>
    <w:rsid w:val="0032003D"/>
    <w:rsid w:val="003205E7"/>
    <w:rsid w:val="00320CAD"/>
    <w:rsid w:val="00321957"/>
    <w:rsid w:val="00321A7A"/>
    <w:rsid w:val="00321AFB"/>
    <w:rsid w:val="00321E7D"/>
    <w:rsid w:val="00322343"/>
    <w:rsid w:val="00322B90"/>
    <w:rsid w:val="00323DE4"/>
    <w:rsid w:val="0032424A"/>
    <w:rsid w:val="003244DF"/>
    <w:rsid w:val="003245D3"/>
    <w:rsid w:val="0032470A"/>
    <w:rsid w:val="00324D8B"/>
    <w:rsid w:val="00325298"/>
    <w:rsid w:val="0032532A"/>
    <w:rsid w:val="0032583B"/>
    <w:rsid w:val="00325C60"/>
    <w:rsid w:val="003274C4"/>
    <w:rsid w:val="00327AB5"/>
    <w:rsid w:val="0033072D"/>
    <w:rsid w:val="00330AA3"/>
    <w:rsid w:val="00330AE5"/>
    <w:rsid w:val="003312B5"/>
    <w:rsid w:val="00331584"/>
    <w:rsid w:val="00331F3D"/>
    <w:rsid w:val="00332779"/>
    <w:rsid w:val="00332ED0"/>
    <w:rsid w:val="00333628"/>
    <w:rsid w:val="00333680"/>
    <w:rsid w:val="00333A06"/>
    <w:rsid w:val="00334259"/>
    <w:rsid w:val="00334987"/>
    <w:rsid w:val="00335D54"/>
    <w:rsid w:val="00340C69"/>
    <w:rsid w:val="00340DDC"/>
    <w:rsid w:val="00341544"/>
    <w:rsid w:val="003420F3"/>
    <w:rsid w:val="00342E34"/>
    <w:rsid w:val="0034381F"/>
    <w:rsid w:val="00343A85"/>
    <w:rsid w:val="00343B1E"/>
    <w:rsid w:val="00343EC1"/>
    <w:rsid w:val="00343FD9"/>
    <w:rsid w:val="00344057"/>
    <w:rsid w:val="0034484F"/>
    <w:rsid w:val="00344F9B"/>
    <w:rsid w:val="00345A38"/>
    <w:rsid w:val="00346831"/>
    <w:rsid w:val="003477FD"/>
    <w:rsid w:val="0034783D"/>
    <w:rsid w:val="003478B0"/>
    <w:rsid w:val="00347DEA"/>
    <w:rsid w:val="0035088E"/>
    <w:rsid w:val="00350EB8"/>
    <w:rsid w:val="003514EA"/>
    <w:rsid w:val="003529D6"/>
    <w:rsid w:val="003530E7"/>
    <w:rsid w:val="003532C0"/>
    <w:rsid w:val="00353C5B"/>
    <w:rsid w:val="00354669"/>
    <w:rsid w:val="00354B65"/>
    <w:rsid w:val="00355154"/>
    <w:rsid w:val="0035555B"/>
    <w:rsid w:val="003557BE"/>
    <w:rsid w:val="00355A05"/>
    <w:rsid w:val="00355EC7"/>
    <w:rsid w:val="00356326"/>
    <w:rsid w:val="003566E2"/>
    <w:rsid w:val="00356C84"/>
    <w:rsid w:val="00360093"/>
    <w:rsid w:val="00360976"/>
    <w:rsid w:val="00362305"/>
    <w:rsid w:val="00362A49"/>
    <w:rsid w:val="00362F80"/>
    <w:rsid w:val="003633BC"/>
    <w:rsid w:val="0036418E"/>
    <w:rsid w:val="00365312"/>
    <w:rsid w:val="00365EAB"/>
    <w:rsid w:val="003664EF"/>
    <w:rsid w:val="00366DEE"/>
    <w:rsid w:val="00366E6D"/>
    <w:rsid w:val="00366FF4"/>
    <w:rsid w:val="003700FC"/>
    <w:rsid w:val="00371CF1"/>
    <w:rsid w:val="00373128"/>
    <w:rsid w:val="00373DC9"/>
    <w:rsid w:val="003748A0"/>
    <w:rsid w:val="00374C6D"/>
    <w:rsid w:val="003750C1"/>
    <w:rsid w:val="003755F1"/>
    <w:rsid w:val="00375710"/>
    <w:rsid w:val="00375BF5"/>
    <w:rsid w:val="00377840"/>
    <w:rsid w:val="0038015D"/>
    <w:rsid w:val="0038045E"/>
    <w:rsid w:val="00380AF7"/>
    <w:rsid w:val="00381A20"/>
    <w:rsid w:val="00382074"/>
    <w:rsid w:val="00382B29"/>
    <w:rsid w:val="00383423"/>
    <w:rsid w:val="00383451"/>
    <w:rsid w:val="00384159"/>
    <w:rsid w:val="0038434D"/>
    <w:rsid w:val="003844C2"/>
    <w:rsid w:val="00384875"/>
    <w:rsid w:val="00384E56"/>
    <w:rsid w:val="00384FCA"/>
    <w:rsid w:val="0038657D"/>
    <w:rsid w:val="0038757F"/>
    <w:rsid w:val="00390202"/>
    <w:rsid w:val="0039069C"/>
    <w:rsid w:val="00390ED0"/>
    <w:rsid w:val="003928CE"/>
    <w:rsid w:val="00392AF1"/>
    <w:rsid w:val="00394298"/>
    <w:rsid w:val="003945CC"/>
    <w:rsid w:val="00394A05"/>
    <w:rsid w:val="003954A4"/>
    <w:rsid w:val="00395DC9"/>
    <w:rsid w:val="00396802"/>
    <w:rsid w:val="00396ACD"/>
    <w:rsid w:val="00397770"/>
    <w:rsid w:val="00397880"/>
    <w:rsid w:val="00397FC5"/>
    <w:rsid w:val="003A069B"/>
    <w:rsid w:val="003A0F53"/>
    <w:rsid w:val="003A10F2"/>
    <w:rsid w:val="003A1AA0"/>
    <w:rsid w:val="003A2223"/>
    <w:rsid w:val="003A2255"/>
    <w:rsid w:val="003A231E"/>
    <w:rsid w:val="003A24A9"/>
    <w:rsid w:val="003A2EBA"/>
    <w:rsid w:val="003A33AE"/>
    <w:rsid w:val="003A3644"/>
    <w:rsid w:val="003A36D7"/>
    <w:rsid w:val="003A40F2"/>
    <w:rsid w:val="003A435C"/>
    <w:rsid w:val="003A480C"/>
    <w:rsid w:val="003A4966"/>
    <w:rsid w:val="003A4DAF"/>
    <w:rsid w:val="003A4EAD"/>
    <w:rsid w:val="003A5C2F"/>
    <w:rsid w:val="003A7016"/>
    <w:rsid w:val="003B07B0"/>
    <w:rsid w:val="003B083A"/>
    <w:rsid w:val="003B0C08"/>
    <w:rsid w:val="003B1379"/>
    <w:rsid w:val="003B2780"/>
    <w:rsid w:val="003B49F6"/>
    <w:rsid w:val="003B4EF4"/>
    <w:rsid w:val="003B5D2B"/>
    <w:rsid w:val="003B6443"/>
    <w:rsid w:val="003B6E9C"/>
    <w:rsid w:val="003B78E8"/>
    <w:rsid w:val="003C0B6E"/>
    <w:rsid w:val="003C1478"/>
    <w:rsid w:val="003C16C8"/>
    <w:rsid w:val="003C17A5"/>
    <w:rsid w:val="003C268A"/>
    <w:rsid w:val="003C2927"/>
    <w:rsid w:val="003C33B2"/>
    <w:rsid w:val="003C3A7D"/>
    <w:rsid w:val="003C41B9"/>
    <w:rsid w:val="003C5E6F"/>
    <w:rsid w:val="003C6782"/>
    <w:rsid w:val="003C7200"/>
    <w:rsid w:val="003D0733"/>
    <w:rsid w:val="003D1552"/>
    <w:rsid w:val="003D192B"/>
    <w:rsid w:val="003D338C"/>
    <w:rsid w:val="003D3816"/>
    <w:rsid w:val="003D45D3"/>
    <w:rsid w:val="003D4D3B"/>
    <w:rsid w:val="003D5059"/>
    <w:rsid w:val="003D5062"/>
    <w:rsid w:val="003D58A1"/>
    <w:rsid w:val="003D6200"/>
    <w:rsid w:val="003D7BA2"/>
    <w:rsid w:val="003E03AA"/>
    <w:rsid w:val="003E09DD"/>
    <w:rsid w:val="003E1418"/>
    <w:rsid w:val="003E228C"/>
    <w:rsid w:val="003E2806"/>
    <w:rsid w:val="003E2CF7"/>
    <w:rsid w:val="003E2D27"/>
    <w:rsid w:val="003E3557"/>
    <w:rsid w:val="003E3EAE"/>
    <w:rsid w:val="003E4046"/>
    <w:rsid w:val="003E4B12"/>
    <w:rsid w:val="003E5563"/>
    <w:rsid w:val="003E624A"/>
    <w:rsid w:val="003E63BF"/>
    <w:rsid w:val="003E6488"/>
    <w:rsid w:val="003E6C32"/>
    <w:rsid w:val="003E72DF"/>
    <w:rsid w:val="003E7607"/>
    <w:rsid w:val="003E7E12"/>
    <w:rsid w:val="003F003A"/>
    <w:rsid w:val="003F125B"/>
    <w:rsid w:val="003F12D3"/>
    <w:rsid w:val="003F18FF"/>
    <w:rsid w:val="003F218E"/>
    <w:rsid w:val="003F2D3B"/>
    <w:rsid w:val="003F2E34"/>
    <w:rsid w:val="003F3A3A"/>
    <w:rsid w:val="003F56CD"/>
    <w:rsid w:val="003F6BA2"/>
    <w:rsid w:val="003F6D44"/>
    <w:rsid w:val="003F7001"/>
    <w:rsid w:val="003F704A"/>
    <w:rsid w:val="003F7B3F"/>
    <w:rsid w:val="0040006E"/>
    <w:rsid w:val="00400145"/>
    <w:rsid w:val="00401A24"/>
    <w:rsid w:val="00402C79"/>
    <w:rsid w:val="004035B7"/>
    <w:rsid w:val="0040393C"/>
    <w:rsid w:val="00404D5B"/>
    <w:rsid w:val="00405000"/>
    <w:rsid w:val="004050F8"/>
    <w:rsid w:val="004051F6"/>
    <w:rsid w:val="004055AC"/>
    <w:rsid w:val="0040577E"/>
    <w:rsid w:val="004058AD"/>
    <w:rsid w:val="00405CB6"/>
    <w:rsid w:val="004073EF"/>
    <w:rsid w:val="00407932"/>
    <w:rsid w:val="00407971"/>
    <w:rsid w:val="004079D5"/>
    <w:rsid w:val="00407F92"/>
    <w:rsid w:val="00410012"/>
    <w:rsid w:val="00410553"/>
    <w:rsid w:val="0041078D"/>
    <w:rsid w:val="00410FBB"/>
    <w:rsid w:val="0041217E"/>
    <w:rsid w:val="00412CBC"/>
    <w:rsid w:val="00416F97"/>
    <w:rsid w:val="004175B6"/>
    <w:rsid w:val="00417737"/>
    <w:rsid w:val="00417E30"/>
    <w:rsid w:val="00420933"/>
    <w:rsid w:val="004213C0"/>
    <w:rsid w:val="00422FAC"/>
    <w:rsid w:val="004241F5"/>
    <w:rsid w:val="00425EE3"/>
    <w:rsid w:val="00426132"/>
    <w:rsid w:val="0042613B"/>
    <w:rsid w:val="00426A82"/>
    <w:rsid w:val="00427133"/>
    <w:rsid w:val="004276AF"/>
    <w:rsid w:val="00427B7D"/>
    <w:rsid w:val="00430103"/>
    <w:rsid w:val="0043031B"/>
    <w:rsid w:val="0043039B"/>
    <w:rsid w:val="00431231"/>
    <w:rsid w:val="00431E40"/>
    <w:rsid w:val="00432087"/>
    <w:rsid w:val="0043284A"/>
    <w:rsid w:val="00433B08"/>
    <w:rsid w:val="00434592"/>
    <w:rsid w:val="00434BE7"/>
    <w:rsid w:val="004368A9"/>
    <w:rsid w:val="0044029B"/>
    <w:rsid w:val="0044045B"/>
    <w:rsid w:val="0044070E"/>
    <w:rsid w:val="004423FE"/>
    <w:rsid w:val="00442999"/>
    <w:rsid w:val="004431E7"/>
    <w:rsid w:val="00443964"/>
    <w:rsid w:val="004443C4"/>
    <w:rsid w:val="004455D8"/>
    <w:rsid w:val="00445C35"/>
    <w:rsid w:val="00445DC8"/>
    <w:rsid w:val="0044647F"/>
    <w:rsid w:val="0044649A"/>
    <w:rsid w:val="0044695D"/>
    <w:rsid w:val="0044780D"/>
    <w:rsid w:val="00447E4D"/>
    <w:rsid w:val="0045267C"/>
    <w:rsid w:val="004526A7"/>
    <w:rsid w:val="004528FD"/>
    <w:rsid w:val="00452933"/>
    <w:rsid w:val="00452A3A"/>
    <w:rsid w:val="00452D39"/>
    <w:rsid w:val="00454206"/>
    <w:rsid w:val="0045663A"/>
    <w:rsid w:val="00457A22"/>
    <w:rsid w:val="00457F71"/>
    <w:rsid w:val="00457F9D"/>
    <w:rsid w:val="004604AC"/>
    <w:rsid w:val="00460961"/>
    <w:rsid w:val="0046160E"/>
    <w:rsid w:val="004619AE"/>
    <w:rsid w:val="00461D29"/>
    <w:rsid w:val="00462042"/>
    <w:rsid w:val="004626D0"/>
    <w:rsid w:val="0046303D"/>
    <w:rsid w:val="0046344E"/>
    <w:rsid w:val="0046415D"/>
    <w:rsid w:val="00464264"/>
    <w:rsid w:val="00464309"/>
    <w:rsid w:val="004647CF"/>
    <w:rsid w:val="00464CB3"/>
    <w:rsid w:val="00465687"/>
    <w:rsid w:val="004667E7"/>
    <w:rsid w:val="00466CFF"/>
    <w:rsid w:val="004676EE"/>
    <w:rsid w:val="00470087"/>
    <w:rsid w:val="00470382"/>
    <w:rsid w:val="0047062B"/>
    <w:rsid w:val="0047078D"/>
    <w:rsid w:val="0047166C"/>
    <w:rsid w:val="00471B10"/>
    <w:rsid w:val="00471E37"/>
    <w:rsid w:val="00472BDD"/>
    <w:rsid w:val="004734DA"/>
    <w:rsid w:val="00473D69"/>
    <w:rsid w:val="004750D8"/>
    <w:rsid w:val="00475797"/>
    <w:rsid w:val="00475DD0"/>
    <w:rsid w:val="00476376"/>
    <w:rsid w:val="00476739"/>
    <w:rsid w:val="00476D0A"/>
    <w:rsid w:val="00480616"/>
    <w:rsid w:val="00481192"/>
    <w:rsid w:val="004816AD"/>
    <w:rsid w:val="00483038"/>
    <w:rsid w:val="004844B6"/>
    <w:rsid w:val="0048582A"/>
    <w:rsid w:val="0048654F"/>
    <w:rsid w:val="00486606"/>
    <w:rsid w:val="00487312"/>
    <w:rsid w:val="0048782D"/>
    <w:rsid w:val="0049082C"/>
    <w:rsid w:val="00491119"/>
    <w:rsid w:val="004924DA"/>
    <w:rsid w:val="0049253B"/>
    <w:rsid w:val="00492641"/>
    <w:rsid w:val="00492FA1"/>
    <w:rsid w:val="004938C0"/>
    <w:rsid w:val="00493BA5"/>
    <w:rsid w:val="00493CD5"/>
    <w:rsid w:val="00496120"/>
    <w:rsid w:val="00496EC6"/>
    <w:rsid w:val="004A03DB"/>
    <w:rsid w:val="004A063D"/>
    <w:rsid w:val="004A08ED"/>
    <w:rsid w:val="004A140B"/>
    <w:rsid w:val="004A14CD"/>
    <w:rsid w:val="004A186C"/>
    <w:rsid w:val="004A19CD"/>
    <w:rsid w:val="004A1E9D"/>
    <w:rsid w:val="004A24E5"/>
    <w:rsid w:val="004A2C9E"/>
    <w:rsid w:val="004A2CBF"/>
    <w:rsid w:val="004A2F41"/>
    <w:rsid w:val="004A34DA"/>
    <w:rsid w:val="004A3B4F"/>
    <w:rsid w:val="004A63EB"/>
    <w:rsid w:val="004A674D"/>
    <w:rsid w:val="004A6CDA"/>
    <w:rsid w:val="004B001F"/>
    <w:rsid w:val="004B136A"/>
    <w:rsid w:val="004B183D"/>
    <w:rsid w:val="004B1AE1"/>
    <w:rsid w:val="004B213A"/>
    <w:rsid w:val="004B27E1"/>
    <w:rsid w:val="004B2F9A"/>
    <w:rsid w:val="004B3103"/>
    <w:rsid w:val="004B3214"/>
    <w:rsid w:val="004B37AF"/>
    <w:rsid w:val="004B38AC"/>
    <w:rsid w:val="004B3F3D"/>
    <w:rsid w:val="004B4D67"/>
    <w:rsid w:val="004B4E87"/>
    <w:rsid w:val="004B5AB1"/>
    <w:rsid w:val="004B5D84"/>
    <w:rsid w:val="004B611B"/>
    <w:rsid w:val="004B6A54"/>
    <w:rsid w:val="004B6BCE"/>
    <w:rsid w:val="004B7B5D"/>
    <w:rsid w:val="004B7BAA"/>
    <w:rsid w:val="004C0364"/>
    <w:rsid w:val="004C04FB"/>
    <w:rsid w:val="004C1E2F"/>
    <w:rsid w:val="004C28FE"/>
    <w:rsid w:val="004C2DF7"/>
    <w:rsid w:val="004C3A9C"/>
    <w:rsid w:val="004C42F0"/>
    <w:rsid w:val="004C43D1"/>
    <w:rsid w:val="004C45C6"/>
    <w:rsid w:val="004C4E0B"/>
    <w:rsid w:val="004C52AF"/>
    <w:rsid w:val="004C5400"/>
    <w:rsid w:val="004C5646"/>
    <w:rsid w:val="004C5819"/>
    <w:rsid w:val="004C5C00"/>
    <w:rsid w:val="004C5E22"/>
    <w:rsid w:val="004C5F98"/>
    <w:rsid w:val="004C60C6"/>
    <w:rsid w:val="004C61AB"/>
    <w:rsid w:val="004C7BE5"/>
    <w:rsid w:val="004D0692"/>
    <w:rsid w:val="004D126E"/>
    <w:rsid w:val="004D14DE"/>
    <w:rsid w:val="004D198D"/>
    <w:rsid w:val="004D1C80"/>
    <w:rsid w:val="004D24F3"/>
    <w:rsid w:val="004D38D8"/>
    <w:rsid w:val="004D45AF"/>
    <w:rsid w:val="004D497E"/>
    <w:rsid w:val="004D4C29"/>
    <w:rsid w:val="004D6482"/>
    <w:rsid w:val="004D6A3D"/>
    <w:rsid w:val="004D7D70"/>
    <w:rsid w:val="004E0708"/>
    <w:rsid w:val="004E11CB"/>
    <w:rsid w:val="004E2258"/>
    <w:rsid w:val="004E2AE6"/>
    <w:rsid w:val="004E44E3"/>
    <w:rsid w:val="004E4809"/>
    <w:rsid w:val="004E4AEB"/>
    <w:rsid w:val="004E4D78"/>
    <w:rsid w:val="004E5985"/>
    <w:rsid w:val="004E6352"/>
    <w:rsid w:val="004E63BA"/>
    <w:rsid w:val="004E6460"/>
    <w:rsid w:val="004E719B"/>
    <w:rsid w:val="004E799D"/>
    <w:rsid w:val="004F1CFD"/>
    <w:rsid w:val="004F294E"/>
    <w:rsid w:val="004F3581"/>
    <w:rsid w:val="004F43A4"/>
    <w:rsid w:val="004F43F8"/>
    <w:rsid w:val="004F4604"/>
    <w:rsid w:val="004F4A8D"/>
    <w:rsid w:val="004F4C2D"/>
    <w:rsid w:val="004F5A08"/>
    <w:rsid w:val="004F5C0B"/>
    <w:rsid w:val="004F65A6"/>
    <w:rsid w:val="004F6B46"/>
    <w:rsid w:val="004F6BBA"/>
    <w:rsid w:val="004F6DBE"/>
    <w:rsid w:val="005013C1"/>
    <w:rsid w:val="005017DE"/>
    <w:rsid w:val="00501819"/>
    <w:rsid w:val="0050284A"/>
    <w:rsid w:val="005041FE"/>
    <w:rsid w:val="00504ECE"/>
    <w:rsid w:val="00507D33"/>
    <w:rsid w:val="0051022D"/>
    <w:rsid w:val="00511999"/>
    <w:rsid w:val="00512648"/>
    <w:rsid w:val="005127A6"/>
    <w:rsid w:val="00512F64"/>
    <w:rsid w:val="005145D6"/>
    <w:rsid w:val="00514889"/>
    <w:rsid w:val="00515E2E"/>
    <w:rsid w:val="005160E3"/>
    <w:rsid w:val="00516555"/>
    <w:rsid w:val="00516808"/>
    <w:rsid w:val="00520B3F"/>
    <w:rsid w:val="00521E84"/>
    <w:rsid w:val="00521EA5"/>
    <w:rsid w:val="00523638"/>
    <w:rsid w:val="00525B80"/>
    <w:rsid w:val="00525E8D"/>
    <w:rsid w:val="00526B95"/>
    <w:rsid w:val="0053039D"/>
    <w:rsid w:val="00530845"/>
    <w:rsid w:val="0053098F"/>
    <w:rsid w:val="00531183"/>
    <w:rsid w:val="00531A50"/>
    <w:rsid w:val="00532130"/>
    <w:rsid w:val="00532337"/>
    <w:rsid w:val="00532B81"/>
    <w:rsid w:val="00532FDA"/>
    <w:rsid w:val="00534799"/>
    <w:rsid w:val="0053486C"/>
    <w:rsid w:val="005348F0"/>
    <w:rsid w:val="00534CB9"/>
    <w:rsid w:val="00534F54"/>
    <w:rsid w:val="00535912"/>
    <w:rsid w:val="00535DAA"/>
    <w:rsid w:val="005365AB"/>
    <w:rsid w:val="00536B2E"/>
    <w:rsid w:val="00537097"/>
    <w:rsid w:val="00537D5A"/>
    <w:rsid w:val="005405FD"/>
    <w:rsid w:val="00541743"/>
    <w:rsid w:val="00541FA1"/>
    <w:rsid w:val="00542534"/>
    <w:rsid w:val="00542C2F"/>
    <w:rsid w:val="005432C5"/>
    <w:rsid w:val="00545372"/>
    <w:rsid w:val="00545E1B"/>
    <w:rsid w:val="0054614C"/>
    <w:rsid w:val="00546D8E"/>
    <w:rsid w:val="00547D37"/>
    <w:rsid w:val="00550F33"/>
    <w:rsid w:val="00550FB5"/>
    <w:rsid w:val="0055154A"/>
    <w:rsid w:val="00551F5C"/>
    <w:rsid w:val="00552BF8"/>
    <w:rsid w:val="00552E33"/>
    <w:rsid w:val="00553738"/>
    <w:rsid w:val="00553981"/>
    <w:rsid w:val="00553B0E"/>
    <w:rsid w:val="00553B64"/>
    <w:rsid w:val="005542C6"/>
    <w:rsid w:val="00556166"/>
    <w:rsid w:val="00556E68"/>
    <w:rsid w:val="00557AED"/>
    <w:rsid w:val="0056056D"/>
    <w:rsid w:val="00560B6F"/>
    <w:rsid w:val="00560BFE"/>
    <w:rsid w:val="005610AA"/>
    <w:rsid w:val="00564054"/>
    <w:rsid w:val="0056419E"/>
    <w:rsid w:val="00564282"/>
    <w:rsid w:val="00565646"/>
    <w:rsid w:val="00566DEF"/>
    <w:rsid w:val="00567604"/>
    <w:rsid w:val="005679FE"/>
    <w:rsid w:val="0057025B"/>
    <w:rsid w:val="00571AE1"/>
    <w:rsid w:val="00571B81"/>
    <w:rsid w:val="00571D10"/>
    <w:rsid w:val="00572209"/>
    <w:rsid w:val="00573D76"/>
    <w:rsid w:val="00574E48"/>
    <w:rsid w:val="005753D8"/>
    <w:rsid w:val="00575F3D"/>
    <w:rsid w:val="00576693"/>
    <w:rsid w:val="005772DD"/>
    <w:rsid w:val="0057763E"/>
    <w:rsid w:val="00577796"/>
    <w:rsid w:val="0058032E"/>
    <w:rsid w:val="00580988"/>
    <w:rsid w:val="00581430"/>
    <w:rsid w:val="00581C48"/>
    <w:rsid w:val="0058227B"/>
    <w:rsid w:val="0058330E"/>
    <w:rsid w:val="0058437F"/>
    <w:rsid w:val="005844BD"/>
    <w:rsid w:val="00584D02"/>
    <w:rsid w:val="00586010"/>
    <w:rsid w:val="00587840"/>
    <w:rsid w:val="00590E15"/>
    <w:rsid w:val="005914B5"/>
    <w:rsid w:val="00591AE0"/>
    <w:rsid w:val="00591C48"/>
    <w:rsid w:val="00591E53"/>
    <w:rsid w:val="00591E87"/>
    <w:rsid w:val="00591FD5"/>
    <w:rsid w:val="00592267"/>
    <w:rsid w:val="0059281F"/>
    <w:rsid w:val="00592830"/>
    <w:rsid w:val="00593149"/>
    <w:rsid w:val="0059354B"/>
    <w:rsid w:val="00593573"/>
    <w:rsid w:val="00593FC9"/>
    <w:rsid w:val="0059421F"/>
    <w:rsid w:val="00594473"/>
    <w:rsid w:val="005946FB"/>
    <w:rsid w:val="00596252"/>
    <w:rsid w:val="0059699A"/>
    <w:rsid w:val="00596D0C"/>
    <w:rsid w:val="00596D19"/>
    <w:rsid w:val="005971BE"/>
    <w:rsid w:val="0059790F"/>
    <w:rsid w:val="00597B4A"/>
    <w:rsid w:val="00597D15"/>
    <w:rsid w:val="00597D8C"/>
    <w:rsid w:val="005A035E"/>
    <w:rsid w:val="005A054E"/>
    <w:rsid w:val="005A09F5"/>
    <w:rsid w:val="005A0C98"/>
    <w:rsid w:val="005A136D"/>
    <w:rsid w:val="005A175B"/>
    <w:rsid w:val="005A3AC3"/>
    <w:rsid w:val="005A3B73"/>
    <w:rsid w:val="005A5BB7"/>
    <w:rsid w:val="005A6B9D"/>
    <w:rsid w:val="005A6EBA"/>
    <w:rsid w:val="005A722C"/>
    <w:rsid w:val="005A732F"/>
    <w:rsid w:val="005A76F5"/>
    <w:rsid w:val="005A7F79"/>
    <w:rsid w:val="005B02A1"/>
    <w:rsid w:val="005B097F"/>
    <w:rsid w:val="005B0AE2"/>
    <w:rsid w:val="005B1D2A"/>
    <w:rsid w:val="005B1F2C"/>
    <w:rsid w:val="005B2A9C"/>
    <w:rsid w:val="005B2C46"/>
    <w:rsid w:val="005B361F"/>
    <w:rsid w:val="005B3D2E"/>
    <w:rsid w:val="005B3DB7"/>
    <w:rsid w:val="005B3F76"/>
    <w:rsid w:val="005B4CAD"/>
    <w:rsid w:val="005B5F3C"/>
    <w:rsid w:val="005B5F8C"/>
    <w:rsid w:val="005B647E"/>
    <w:rsid w:val="005B64C1"/>
    <w:rsid w:val="005B7117"/>
    <w:rsid w:val="005B767F"/>
    <w:rsid w:val="005B7FC3"/>
    <w:rsid w:val="005C00BF"/>
    <w:rsid w:val="005C142B"/>
    <w:rsid w:val="005C341A"/>
    <w:rsid w:val="005C43F6"/>
    <w:rsid w:val="005C4C3A"/>
    <w:rsid w:val="005C6A21"/>
    <w:rsid w:val="005C6A5D"/>
    <w:rsid w:val="005C6B4C"/>
    <w:rsid w:val="005C6F13"/>
    <w:rsid w:val="005D03D9"/>
    <w:rsid w:val="005D0776"/>
    <w:rsid w:val="005D1272"/>
    <w:rsid w:val="005D1EE8"/>
    <w:rsid w:val="005D1F6C"/>
    <w:rsid w:val="005D34F1"/>
    <w:rsid w:val="005D3B12"/>
    <w:rsid w:val="005D451D"/>
    <w:rsid w:val="005D56AE"/>
    <w:rsid w:val="005D666D"/>
    <w:rsid w:val="005E14CC"/>
    <w:rsid w:val="005E1732"/>
    <w:rsid w:val="005E1AC1"/>
    <w:rsid w:val="005E27C9"/>
    <w:rsid w:val="005E2BAD"/>
    <w:rsid w:val="005E3032"/>
    <w:rsid w:val="005E3A59"/>
    <w:rsid w:val="005E3BAC"/>
    <w:rsid w:val="005E3F62"/>
    <w:rsid w:val="005E4CB0"/>
    <w:rsid w:val="005F00FB"/>
    <w:rsid w:val="005F05D4"/>
    <w:rsid w:val="005F0C09"/>
    <w:rsid w:val="005F3B1E"/>
    <w:rsid w:val="005F4DD6"/>
    <w:rsid w:val="005F53A0"/>
    <w:rsid w:val="005F5DC9"/>
    <w:rsid w:val="005F62BB"/>
    <w:rsid w:val="005F65FD"/>
    <w:rsid w:val="005F6CAD"/>
    <w:rsid w:val="005F744C"/>
    <w:rsid w:val="005F77D7"/>
    <w:rsid w:val="005F7AEB"/>
    <w:rsid w:val="005F7EB0"/>
    <w:rsid w:val="00601AC3"/>
    <w:rsid w:val="006021E5"/>
    <w:rsid w:val="00602332"/>
    <w:rsid w:val="006027FE"/>
    <w:rsid w:val="00602869"/>
    <w:rsid w:val="00602DF1"/>
    <w:rsid w:val="006034E9"/>
    <w:rsid w:val="0060351B"/>
    <w:rsid w:val="00603C79"/>
    <w:rsid w:val="00603E0B"/>
    <w:rsid w:val="00604802"/>
    <w:rsid w:val="00604EB3"/>
    <w:rsid w:val="0060585A"/>
    <w:rsid w:val="00606BFF"/>
    <w:rsid w:val="00606FF0"/>
    <w:rsid w:val="00611111"/>
    <w:rsid w:val="00612005"/>
    <w:rsid w:val="00612BC6"/>
    <w:rsid w:val="00612DC7"/>
    <w:rsid w:val="00613140"/>
    <w:rsid w:val="00613A7D"/>
    <w:rsid w:val="00614248"/>
    <w:rsid w:val="00615182"/>
    <w:rsid w:val="00615733"/>
    <w:rsid w:val="00615AB0"/>
    <w:rsid w:val="00615F7F"/>
    <w:rsid w:val="006163FA"/>
    <w:rsid w:val="006164C7"/>
    <w:rsid w:val="006167E9"/>
    <w:rsid w:val="0061778C"/>
    <w:rsid w:val="006217BC"/>
    <w:rsid w:val="00621B0A"/>
    <w:rsid w:val="006220A7"/>
    <w:rsid w:val="0062350C"/>
    <w:rsid w:val="00624EA3"/>
    <w:rsid w:val="006253EB"/>
    <w:rsid w:val="00625490"/>
    <w:rsid w:val="00625B46"/>
    <w:rsid w:val="00625EF2"/>
    <w:rsid w:val="00626016"/>
    <w:rsid w:val="0062625B"/>
    <w:rsid w:val="00626463"/>
    <w:rsid w:val="00626E22"/>
    <w:rsid w:val="0062760B"/>
    <w:rsid w:val="00630F39"/>
    <w:rsid w:val="0063164E"/>
    <w:rsid w:val="00631863"/>
    <w:rsid w:val="00631E41"/>
    <w:rsid w:val="0063243E"/>
    <w:rsid w:val="00632D8A"/>
    <w:rsid w:val="00632EDD"/>
    <w:rsid w:val="006336C8"/>
    <w:rsid w:val="006337F9"/>
    <w:rsid w:val="006343E0"/>
    <w:rsid w:val="00635247"/>
    <w:rsid w:val="00635568"/>
    <w:rsid w:val="006357CA"/>
    <w:rsid w:val="00636839"/>
    <w:rsid w:val="00636B90"/>
    <w:rsid w:val="006405E3"/>
    <w:rsid w:val="00641044"/>
    <w:rsid w:val="00641056"/>
    <w:rsid w:val="006413D1"/>
    <w:rsid w:val="006422DC"/>
    <w:rsid w:val="00642744"/>
    <w:rsid w:val="00642A19"/>
    <w:rsid w:val="006446BD"/>
    <w:rsid w:val="0064472C"/>
    <w:rsid w:val="00645658"/>
    <w:rsid w:val="006459FC"/>
    <w:rsid w:val="006460F4"/>
    <w:rsid w:val="0064738B"/>
    <w:rsid w:val="00647C2F"/>
    <w:rsid w:val="006508EA"/>
    <w:rsid w:val="00650A57"/>
    <w:rsid w:val="0065172B"/>
    <w:rsid w:val="00651E78"/>
    <w:rsid w:val="00652CAB"/>
    <w:rsid w:val="00653DA8"/>
    <w:rsid w:val="0065563D"/>
    <w:rsid w:val="006556EE"/>
    <w:rsid w:val="0065594E"/>
    <w:rsid w:val="00655AFE"/>
    <w:rsid w:val="00655DD6"/>
    <w:rsid w:val="00657166"/>
    <w:rsid w:val="006572F1"/>
    <w:rsid w:val="00657650"/>
    <w:rsid w:val="00661927"/>
    <w:rsid w:val="006628AD"/>
    <w:rsid w:val="006632B9"/>
    <w:rsid w:val="00663850"/>
    <w:rsid w:val="00663E33"/>
    <w:rsid w:val="006671E5"/>
    <w:rsid w:val="0066734B"/>
    <w:rsid w:val="00667E86"/>
    <w:rsid w:val="00671467"/>
    <w:rsid w:val="006724C6"/>
    <w:rsid w:val="006741F5"/>
    <w:rsid w:val="006748F3"/>
    <w:rsid w:val="00674DAB"/>
    <w:rsid w:val="006756C9"/>
    <w:rsid w:val="00675E0A"/>
    <w:rsid w:val="00676004"/>
    <w:rsid w:val="006767C9"/>
    <w:rsid w:val="00676A74"/>
    <w:rsid w:val="00676BBC"/>
    <w:rsid w:val="00677684"/>
    <w:rsid w:val="006805B4"/>
    <w:rsid w:val="00680B20"/>
    <w:rsid w:val="00681577"/>
    <w:rsid w:val="00681EB8"/>
    <w:rsid w:val="006820FB"/>
    <w:rsid w:val="0068379F"/>
    <w:rsid w:val="0068392D"/>
    <w:rsid w:val="00683969"/>
    <w:rsid w:val="00684337"/>
    <w:rsid w:val="006854B9"/>
    <w:rsid w:val="006856D8"/>
    <w:rsid w:val="00686C8A"/>
    <w:rsid w:val="006909A8"/>
    <w:rsid w:val="00690A52"/>
    <w:rsid w:val="006919AF"/>
    <w:rsid w:val="00692CA8"/>
    <w:rsid w:val="006943BF"/>
    <w:rsid w:val="00694F7D"/>
    <w:rsid w:val="006950AA"/>
    <w:rsid w:val="00695265"/>
    <w:rsid w:val="00695927"/>
    <w:rsid w:val="00695A3F"/>
    <w:rsid w:val="00697DB5"/>
    <w:rsid w:val="00697E65"/>
    <w:rsid w:val="006A023C"/>
    <w:rsid w:val="006A0741"/>
    <w:rsid w:val="006A1828"/>
    <w:rsid w:val="006A1B33"/>
    <w:rsid w:val="006A34A5"/>
    <w:rsid w:val="006A492A"/>
    <w:rsid w:val="006A4DC1"/>
    <w:rsid w:val="006A4F06"/>
    <w:rsid w:val="006A5DB7"/>
    <w:rsid w:val="006A5E8D"/>
    <w:rsid w:val="006A6090"/>
    <w:rsid w:val="006A6665"/>
    <w:rsid w:val="006A6E89"/>
    <w:rsid w:val="006A713C"/>
    <w:rsid w:val="006A7627"/>
    <w:rsid w:val="006B04B1"/>
    <w:rsid w:val="006B11D5"/>
    <w:rsid w:val="006B13B5"/>
    <w:rsid w:val="006B1948"/>
    <w:rsid w:val="006B1B51"/>
    <w:rsid w:val="006B26C9"/>
    <w:rsid w:val="006B3514"/>
    <w:rsid w:val="006B4F95"/>
    <w:rsid w:val="006B57C4"/>
    <w:rsid w:val="006B5B41"/>
    <w:rsid w:val="006B5C72"/>
    <w:rsid w:val="006B6947"/>
    <w:rsid w:val="006B6E06"/>
    <w:rsid w:val="006B748A"/>
    <w:rsid w:val="006B7CCE"/>
    <w:rsid w:val="006C015F"/>
    <w:rsid w:val="006C127F"/>
    <w:rsid w:val="006C1924"/>
    <w:rsid w:val="006C19E3"/>
    <w:rsid w:val="006C1A14"/>
    <w:rsid w:val="006C239A"/>
    <w:rsid w:val="006C23BF"/>
    <w:rsid w:val="006C2D01"/>
    <w:rsid w:val="006C3D2E"/>
    <w:rsid w:val="006C4728"/>
    <w:rsid w:val="006C5AD6"/>
    <w:rsid w:val="006D0310"/>
    <w:rsid w:val="006D0E80"/>
    <w:rsid w:val="006D2009"/>
    <w:rsid w:val="006D2151"/>
    <w:rsid w:val="006D2732"/>
    <w:rsid w:val="006D281F"/>
    <w:rsid w:val="006D2C67"/>
    <w:rsid w:val="006D331F"/>
    <w:rsid w:val="006D338C"/>
    <w:rsid w:val="006D3757"/>
    <w:rsid w:val="006D417C"/>
    <w:rsid w:val="006D4E08"/>
    <w:rsid w:val="006D50BA"/>
    <w:rsid w:val="006D541C"/>
    <w:rsid w:val="006D5576"/>
    <w:rsid w:val="006D5726"/>
    <w:rsid w:val="006D5B2C"/>
    <w:rsid w:val="006D5D57"/>
    <w:rsid w:val="006D61DF"/>
    <w:rsid w:val="006D69CE"/>
    <w:rsid w:val="006D6B0F"/>
    <w:rsid w:val="006D6D37"/>
    <w:rsid w:val="006D6D80"/>
    <w:rsid w:val="006D6FA6"/>
    <w:rsid w:val="006D705E"/>
    <w:rsid w:val="006E16CB"/>
    <w:rsid w:val="006E1CD5"/>
    <w:rsid w:val="006E1E2E"/>
    <w:rsid w:val="006E3900"/>
    <w:rsid w:val="006E3C71"/>
    <w:rsid w:val="006E4632"/>
    <w:rsid w:val="006E4E96"/>
    <w:rsid w:val="006E500B"/>
    <w:rsid w:val="006E6EA2"/>
    <w:rsid w:val="006E71BF"/>
    <w:rsid w:val="006E7515"/>
    <w:rsid w:val="006E766D"/>
    <w:rsid w:val="006F06A6"/>
    <w:rsid w:val="006F0F78"/>
    <w:rsid w:val="006F0FED"/>
    <w:rsid w:val="006F1871"/>
    <w:rsid w:val="006F2A75"/>
    <w:rsid w:val="006F2ACB"/>
    <w:rsid w:val="006F4B29"/>
    <w:rsid w:val="006F58A7"/>
    <w:rsid w:val="006F6CE9"/>
    <w:rsid w:val="006F75FC"/>
    <w:rsid w:val="006F7D08"/>
    <w:rsid w:val="006F7EA3"/>
    <w:rsid w:val="0070189D"/>
    <w:rsid w:val="0070273A"/>
    <w:rsid w:val="00702A99"/>
    <w:rsid w:val="00703472"/>
    <w:rsid w:val="0070517C"/>
    <w:rsid w:val="00705C9F"/>
    <w:rsid w:val="00706026"/>
    <w:rsid w:val="00706986"/>
    <w:rsid w:val="00707CB2"/>
    <w:rsid w:val="00707CE4"/>
    <w:rsid w:val="0071127B"/>
    <w:rsid w:val="00711762"/>
    <w:rsid w:val="00712633"/>
    <w:rsid w:val="00712CA3"/>
    <w:rsid w:val="007133E7"/>
    <w:rsid w:val="00713A64"/>
    <w:rsid w:val="007163A1"/>
    <w:rsid w:val="00716951"/>
    <w:rsid w:val="0071777A"/>
    <w:rsid w:val="00720F6B"/>
    <w:rsid w:val="00722389"/>
    <w:rsid w:val="00723D6B"/>
    <w:rsid w:val="00724FAF"/>
    <w:rsid w:val="00726F0B"/>
    <w:rsid w:val="00727FB0"/>
    <w:rsid w:val="00730ADA"/>
    <w:rsid w:val="00730FB5"/>
    <w:rsid w:val="00732A05"/>
    <w:rsid w:val="00732E4D"/>
    <w:rsid w:val="00732EB0"/>
    <w:rsid w:val="00733387"/>
    <w:rsid w:val="0073355F"/>
    <w:rsid w:val="00734322"/>
    <w:rsid w:val="00734644"/>
    <w:rsid w:val="00735738"/>
    <w:rsid w:val="00735D9E"/>
    <w:rsid w:val="0073622A"/>
    <w:rsid w:val="007366D3"/>
    <w:rsid w:val="0073754A"/>
    <w:rsid w:val="00737AD0"/>
    <w:rsid w:val="00737B55"/>
    <w:rsid w:val="00737FEB"/>
    <w:rsid w:val="00740118"/>
    <w:rsid w:val="007402D7"/>
    <w:rsid w:val="00742A58"/>
    <w:rsid w:val="00742AF5"/>
    <w:rsid w:val="00742CA7"/>
    <w:rsid w:val="0074502D"/>
    <w:rsid w:val="00745310"/>
    <w:rsid w:val="00745397"/>
    <w:rsid w:val="007455FD"/>
    <w:rsid w:val="00745A09"/>
    <w:rsid w:val="00750AFE"/>
    <w:rsid w:val="0075141C"/>
    <w:rsid w:val="00751760"/>
    <w:rsid w:val="00751940"/>
    <w:rsid w:val="00751EAF"/>
    <w:rsid w:val="007527A0"/>
    <w:rsid w:val="00752CEE"/>
    <w:rsid w:val="00753034"/>
    <w:rsid w:val="0075344B"/>
    <w:rsid w:val="00753CF3"/>
    <w:rsid w:val="00754CF7"/>
    <w:rsid w:val="007553B5"/>
    <w:rsid w:val="00756226"/>
    <w:rsid w:val="00756AB1"/>
    <w:rsid w:val="007574A8"/>
    <w:rsid w:val="00757B0D"/>
    <w:rsid w:val="007600A4"/>
    <w:rsid w:val="00760CBB"/>
    <w:rsid w:val="00760EA6"/>
    <w:rsid w:val="00761320"/>
    <w:rsid w:val="007615B2"/>
    <w:rsid w:val="00762407"/>
    <w:rsid w:val="007627BE"/>
    <w:rsid w:val="00763AF5"/>
    <w:rsid w:val="0076454A"/>
    <w:rsid w:val="00764F1E"/>
    <w:rsid w:val="007651B1"/>
    <w:rsid w:val="007664F5"/>
    <w:rsid w:val="00767703"/>
    <w:rsid w:val="00767A33"/>
    <w:rsid w:val="00767CE1"/>
    <w:rsid w:val="00767D6E"/>
    <w:rsid w:val="007707B9"/>
    <w:rsid w:val="00770D7D"/>
    <w:rsid w:val="007718D2"/>
    <w:rsid w:val="00771A68"/>
    <w:rsid w:val="00772D54"/>
    <w:rsid w:val="00772FB4"/>
    <w:rsid w:val="007743F7"/>
    <w:rsid w:val="007744D2"/>
    <w:rsid w:val="00774C9F"/>
    <w:rsid w:val="00775E8B"/>
    <w:rsid w:val="007764FF"/>
    <w:rsid w:val="00776906"/>
    <w:rsid w:val="00776EC2"/>
    <w:rsid w:val="007774D7"/>
    <w:rsid w:val="007808CA"/>
    <w:rsid w:val="00780EA8"/>
    <w:rsid w:val="00781CF8"/>
    <w:rsid w:val="007830AE"/>
    <w:rsid w:val="00783473"/>
    <w:rsid w:val="00783DAC"/>
    <w:rsid w:val="00784AD6"/>
    <w:rsid w:val="00786136"/>
    <w:rsid w:val="0078724D"/>
    <w:rsid w:val="00787657"/>
    <w:rsid w:val="007902DA"/>
    <w:rsid w:val="00790830"/>
    <w:rsid w:val="0079084E"/>
    <w:rsid w:val="00790E8F"/>
    <w:rsid w:val="007921B1"/>
    <w:rsid w:val="00792A70"/>
    <w:rsid w:val="007941EF"/>
    <w:rsid w:val="00794844"/>
    <w:rsid w:val="00795010"/>
    <w:rsid w:val="0079619B"/>
    <w:rsid w:val="00796257"/>
    <w:rsid w:val="007965AE"/>
    <w:rsid w:val="00797692"/>
    <w:rsid w:val="00797E41"/>
    <w:rsid w:val="007A0094"/>
    <w:rsid w:val="007A023E"/>
    <w:rsid w:val="007A064B"/>
    <w:rsid w:val="007A0B74"/>
    <w:rsid w:val="007A1C1F"/>
    <w:rsid w:val="007A353E"/>
    <w:rsid w:val="007A3A2C"/>
    <w:rsid w:val="007A3C0F"/>
    <w:rsid w:val="007A5CCB"/>
    <w:rsid w:val="007A5D22"/>
    <w:rsid w:val="007A667B"/>
    <w:rsid w:val="007A68CD"/>
    <w:rsid w:val="007A7C11"/>
    <w:rsid w:val="007A7C42"/>
    <w:rsid w:val="007B05CF"/>
    <w:rsid w:val="007B085E"/>
    <w:rsid w:val="007B1534"/>
    <w:rsid w:val="007B157A"/>
    <w:rsid w:val="007B1B34"/>
    <w:rsid w:val="007B1D93"/>
    <w:rsid w:val="007B2B22"/>
    <w:rsid w:val="007B3FFF"/>
    <w:rsid w:val="007B66A5"/>
    <w:rsid w:val="007B680A"/>
    <w:rsid w:val="007B7A86"/>
    <w:rsid w:val="007C0099"/>
    <w:rsid w:val="007C088C"/>
    <w:rsid w:val="007C19A7"/>
    <w:rsid w:val="007C212A"/>
    <w:rsid w:val="007C30EA"/>
    <w:rsid w:val="007C50CA"/>
    <w:rsid w:val="007C6685"/>
    <w:rsid w:val="007C6721"/>
    <w:rsid w:val="007C705A"/>
    <w:rsid w:val="007C7075"/>
    <w:rsid w:val="007D1024"/>
    <w:rsid w:val="007D1BBC"/>
    <w:rsid w:val="007D2167"/>
    <w:rsid w:val="007D2AE5"/>
    <w:rsid w:val="007D2E24"/>
    <w:rsid w:val="007D3B6A"/>
    <w:rsid w:val="007D3F7C"/>
    <w:rsid w:val="007D4E80"/>
    <w:rsid w:val="007D50FD"/>
    <w:rsid w:val="007D5746"/>
    <w:rsid w:val="007D5D9D"/>
    <w:rsid w:val="007D6039"/>
    <w:rsid w:val="007D7294"/>
    <w:rsid w:val="007D7674"/>
    <w:rsid w:val="007D7B0F"/>
    <w:rsid w:val="007D7E9A"/>
    <w:rsid w:val="007E0066"/>
    <w:rsid w:val="007E02B7"/>
    <w:rsid w:val="007E03AC"/>
    <w:rsid w:val="007E0CD0"/>
    <w:rsid w:val="007E0F3F"/>
    <w:rsid w:val="007E1684"/>
    <w:rsid w:val="007E18FA"/>
    <w:rsid w:val="007E199B"/>
    <w:rsid w:val="007E2187"/>
    <w:rsid w:val="007E21B7"/>
    <w:rsid w:val="007E26D6"/>
    <w:rsid w:val="007E27E2"/>
    <w:rsid w:val="007E3046"/>
    <w:rsid w:val="007E321A"/>
    <w:rsid w:val="007E4429"/>
    <w:rsid w:val="007E4A6E"/>
    <w:rsid w:val="007E4A8C"/>
    <w:rsid w:val="007E571B"/>
    <w:rsid w:val="007E684F"/>
    <w:rsid w:val="007E7D21"/>
    <w:rsid w:val="007F0CC6"/>
    <w:rsid w:val="007F0F22"/>
    <w:rsid w:val="007F1F8E"/>
    <w:rsid w:val="007F2302"/>
    <w:rsid w:val="007F244D"/>
    <w:rsid w:val="007F2D2A"/>
    <w:rsid w:val="007F2E23"/>
    <w:rsid w:val="007F3580"/>
    <w:rsid w:val="007F482F"/>
    <w:rsid w:val="007F518A"/>
    <w:rsid w:val="007F74EC"/>
    <w:rsid w:val="007F76E3"/>
    <w:rsid w:val="007F7A6D"/>
    <w:rsid w:val="007F7C94"/>
    <w:rsid w:val="007F7E87"/>
    <w:rsid w:val="00800090"/>
    <w:rsid w:val="00800234"/>
    <w:rsid w:val="00800439"/>
    <w:rsid w:val="00800851"/>
    <w:rsid w:val="00801831"/>
    <w:rsid w:val="0080225C"/>
    <w:rsid w:val="00802E49"/>
    <w:rsid w:val="0080305D"/>
    <w:rsid w:val="0080398D"/>
    <w:rsid w:val="0080444D"/>
    <w:rsid w:val="0080612C"/>
    <w:rsid w:val="00806385"/>
    <w:rsid w:val="00806BCA"/>
    <w:rsid w:val="00806D40"/>
    <w:rsid w:val="00806E22"/>
    <w:rsid w:val="00806F3A"/>
    <w:rsid w:val="00807860"/>
    <w:rsid w:val="00807CC5"/>
    <w:rsid w:val="00807ED7"/>
    <w:rsid w:val="00811022"/>
    <w:rsid w:val="00812F70"/>
    <w:rsid w:val="0081414C"/>
    <w:rsid w:val="00814354"/>
    <w:rsid w:val="00814CC6"/>
    <w:rsid w:val="00815089"/>
    <w:rsid w:val="008165AD"/>
    <w:rsid w:val="0081751C"/>
    <w:rsid w:val="0082114A"/>
    <w:rsid w:val="0082127C"/>
    <w:rsid w:val="008215FD"/>
    <w:rsid w:val="0082296E"/>
    <w:rsid w:val="00822986"/>
    <w:rsid w:val="00823A28"/>
    <w:rsid w:val="00823EC6"/>
    <w:rsid w:val="0082414E"/>
    <w:rsid w:val="00824532"/>
    <w:rsid w:val="00824B7C"/>
    <w:rsid w:val="0082561B"/>
    <w:rsid w:val="00825D40"/>
    <w:rsid w:val="0082631B"/>
    <w:rsid w:val="00826798"/>
    <w:rsid w:val="00831751"/>
    <w:rsid w:val="008319D1"/>
    <w:rsid w:val="00831A50"/>
    <w:rsid w:val="00832247"/>
    <w:rsid w:val="008331A3"/>
    <w:rsid w:val="00833369"/>
    <w:rsid w:val="00833804"/>
    <w:rsid w:val="00833F64"/>
    <w:rsid w:val="008344D2"/>
    <w:rsid w:val="0083462F"/>
    <w:rsid w:val="008349FA"/>
    <w:rsid w:val="00835B42"/>
    <w:rsid w:val="0083630D"/>
    <w:rsid w:val="008369A2"/>
    <w:rsid w:val="0083799E"/>
    <w:rsid w:val="0084086E"/>
    <w:rsid w:val="008410C9"/>
    <w:rsid w:val="00841F0D"/>
    <w:rsid w:val="00842A4E"/>
    <w:rsid w:val="00842B10"/>
    <w:rsid w:val="00843EC7"/>
    <w:rsid w:val="00844513"/>
    <w:rsid w:val="008447A3"/>
    <w:rsid w:val="008450F5"/>
    <w:rsid w:val="00846295"/>
    <w:rsid w:val="00846C64"/>
    <w:rsid w:val="00847D99"/>
    <w:rsid w:val="0085038E"/>
    <w:rsid w:val="008505DA"/>
    <w:rsid w:val="00850663"/>
    <w:rsid w:val="00850D8D"/>
    <w:rsid w:val="008510A2"/>
    <w:rsid w:val="00851E12"/>
    <w:rsid w:val="0085286F"/>
    <w:rsid w:val="00853299"/>
    <w:rsid w:val="00853422"/>
    <w:rsid w:val="00854015"/>
    <w:rsid w:val="008544F1"/>
    <w:rsid w:val="0085453D"/>
    <w:rsid w:val="00854C80"/>
    <w:rsid w:val="00854D71"/>
    <w:rsid w:val="00855362"/>
    <w:rsid w:val="00855F2B"/>
    <w:rsid w:val="0085718D"/>
    <w:rsid w:val="00857462"/>
    <w:rsid w:val="00860951"/>
    <w:rsid w:val="00860AE7"/>
    <w:rsid w:val="00860F1C"/>
    <w:rsid w:val="0086118C"/>
    <w:rsid w:val="008614F0"/>
    <w:rsid w:val="0086271D"/>
    <w:rsid w:val="00863E3C"/>
    <w:rsid w:val="00863E5B"/>
    <w:rsid w:val="008641AE"/>
    <w:rsid w:val="008641F9"/>
    <w:rsid w:val="0086420B"/>
    <w:rsid w:val="00864838"/>
    <w:rsid w:val="00864A73"/>
    <w:rsid w:val="00864DBF"/>
    <w:rsid w:val="00865AE2"/>
    <w:rsid w:val="008663C8"/>
    <w:rsid w:val="00866714"/>
    <w:rsid w:val="00866F46"/>
    <w:rsid w:val="00867327"/>
    <w:rsid w:val="0087074B"/>
    <w:rsid w:val="00871E4E"/>
    <w:rsid w:val="00872129"/>
    <w:rsid w:val="0087223C"/>
    <w:rsid w:val="00872443"/>
    <w:rsid w:val="00872ED0"/>
    <w:rsid w:val="0087300B"/>
    <w:rsid w:val="00873734"/>
    <w:rsid w:val="00874302"/>
    <w:rsid w:val="00874E9E"/>
    <w:rsid w:val="00874EF9"/>
    <w:rsid w:val="00876C1E"/>
    <w:rsid w:val="008771A1"/>
    <w:rsid w:val="00877F83"/>
    <w:rsid w:val="00880044"/>
    <w:rsid w:val="008809CA"/>
    <w:rsid w:val="00880C4F"/>
    <w:rsid w:val="00881523"/>
    <w:rsid w:val="00881CBB"/>
    <w:rsid w:val="008825E0"/>
    <w:rsid w:val="00883524"/>
    <w:rsid w:val="00883EB2"/>
    <w:rsid w:val="0088476C"/>
    <w:rsid w:val="008847CB"/>
    <w:rsid w:val="00884FD5"/>
    <w:rsid w:val="0088500B"/>
    <w:rsid w:val="00885F3C"/>
    <w:rsid w:val="008871F6"/>
    <w:rsid w:val="00887D4F"/>
    <w:rsid w:val="008901AD"/>
    <w:rsid w:val="00890539"/>
    <w:rsid w:val="00892CE3"/>
    <w:rsid w:val="00893891"/>
    <w:rsid w:val="00893C30"/>
    <w:rsid w:val="00893F01"/>
    <w:rsid w:val="0089406E"/>
    <w:rsid w:val="00895401"/>
    <w:rsid w:val="0089564B"/>
    <w:rsid w:val="0089601F"/>
    <w:rsid w:val="0089662E"/>
    <w:rsid w:val="00896BA7"/>
    <w:rsid w:val="00896FFB"/>
    <w:rsid w:val="00897209"/>
    <w:rsid w:val="008976F2"/>
    <w:rsid w:val="008A1626"/>
    <w:rsid w:val="008A1ADD"/>
    <w:rsid w:val="008A1F06"/>
    <w:rsid w:val="008A270C"/>
    <w:rsid w:val="008A7313"/>
    <w:rsid w:val="008A7D91"/>
    <w:rsid w:val="008B1162"/>
    <w:rsid w:val="008B12BE"/>
    <w:rsid w:val="008B166E"/>
    <w:rsid w:val="008B171A"/>
    <w:rsid w:val="008B195C"/>
    <w:rsid w:val="008B19DB"/>
    <w:rsid w:val="008B26B7"/>
    <w:rsid w:val="008B577D"/>
    <w:rsid w:val="008B6FF5"/>
    <w:rsid w:val="008B7C2F"/>
    <w:rsid w:val="008B7FC7"/>
    <w:rsid w:val="008C1361"/>
    <w:rsid w:val="008C16D5"/>
    <w:rsid w:val="008C1A62"/>
    <w:rsid w:val="008C1D45"/>
    <w:rsid w:val="008C28D3"/>
    <w:rsid w:val="008C3385"/>
    <w:rsid w:val="008C341B"/>
    <w:rsid w:val="008C3F59"/>
    <w:rsid w:val="008C4337"/>
    <w:rsid w:val="008C449A"/>
    <w:rsid w:val="008C474F"/>
    <w:rsid w:val="008C4F06"/>
    <w:rsid w:val="008C52AA"/>
    <w:rsid w:val="008C54DD"/>
    <w:rsid w:val="008C5694"/>
    <w:rsid w:val="008C598C"/>
    <w:rsid w:val="008C59C2"/>
    <w:rsid w:val="008C634E"/>
    <w:rsid w:val="008C6AA7"/>
    <w:rsid w:val="008C6B83"/>
    <w:rsid w:val="008C6F91"/>
    <w:rsid w:val="008D0160"/>
    <w:rsid w:val="008D023F"/>
    <w:rsid w:val="008D0CB7"/>
    <w:rsid w:val="008D0DC6"/>
    <w:rsid w:val="008D132E"/>
    <w:rsid w:val="008D1A08"/>
    <w:rsid w:val="008D2491"/>
    <w:rsid w:val="008D2BD5"/>
    <w:rsid w:val="008D3520"/>
    <w:rsid w:val="008D367F"/>
    <w:rsid w:val="008D3712"/>
    <w:rsid w:val="008D3DFB"/>
    <w:rsid w:val="008D47DF"/>
    <w:rsid w:val="008D5674"/>
    <w:rsid w:val="008D6C32"/>
    <w:rsid w:val="008D716B"/>
    <w:rsid w:val="008D739B"/>
    <w:rsid w:val="008D7975"/>
    <w:rsid w:val="008E1DE4"/>
    <w:rsid w:val="008E1E4A"/>
    <w:rsid w:val="008E2D2F"/>
    <w:rsid w:val="008E37E1"/>
    <w:rsid w:val="008E3C00"/>
    <w:rsid w:val="008E4D39"/>
    <w:rsid w:val="008E55EC"/>
    <w:rsid w:val="008E636C"/>
    <w:rsid w:val="008E7C81"/>
    <w:rsid w:val="008F0313"/>
    <w:rsid w:val="008F03DB"/>
    <w:rsid w:val="008F0615"/>
    <w:rsid w:val="008F0AB7"/>
    <w:rsid w:val="008F103E"/>
    <w:rsid w:val="008F1445"/>
    <w:rsid w:val="008F15F0"/>
    <w:rsid w:val="008F1FDB"/>
    <w:rsid w:val="008F204A"/>
    <w:rsid w:val="008F2E37"/>
    <w:rsid w:val="008F2ED9"/>
    <w:rsid w:val="008F36FB"/>
    <w:rsid w:val="008F37E7"/>
    <w:rsid w:val="008F3DA6"/>
    <w:rsid w:val="008F6609"/>
    <w:rsid w:val="008F772B"/>
    <w:rsid w:val="008F7A6C"/>
    <w:rsid w:val="00900AA8"/>
    <w:rsid w:val="009011A1"/>
    <w:rsid w:val="00902006"/>
    <w:rsid w:val="009027D3"/>
    <w:rsid w:val="00902A18"/>
    <w:rsid w:val="00902EA9"/>
    <w:rsid w:val="009030D8"/>
    <w:rsid w:val="00903CD1"/>
    <w:rsid w:val="00903F22"/>
    <w:rsid w:val="00903FE6"/>
    <w:rsid w:val="009040F4"/>
    <w:rsid w:val="0090427F"/>
    <w:rsid w:val="009047F1"/>
    <w:rsid w:val="00904EAD"/>
    <w:rsid w:val="00905A87"/>
    <w:rsid w:val="009063B9"/>
    <w:rsid w:val="00907909"/>
    <w:rsid w:val="00910CF0"/>
    <w:rsid w:val="00910F70"/>
    <w:rsid w:val="00911D34"/>
    <w:rsid w:val="00913AA3"/>
    <w:rsid w:val="00913EA4"/>
    <w:rsid w:val="00913EFB"/>
    <w:rsid w:val="009141A9"/>
    <w:rsid w:val="009147A9"/>
    <w:rsid w:val="00914D6F"/>
    <w:rsid w:val="00915AF1"/>
    <w:rsid w:val="00915BE1"/>
    <w:rsid w:val="00916AE2"/>
    <w:rsid w:val="00916BF8"/>
    <w:rsid w:val="0091709D"/>
    <w:rsid w:val="009174BC"/>
    <w:rsid w:val="00917618"/>
    <w:rsid w:val="00920506"/>
    <w:rsid w:val="00921BE2"/>
    <w:rsid w:val="0092215E"/>
    <w:rsid w:val="009232F7"/>
    <w:rsid w:val="009238A9"/>
    <w:rsid w:val="00923AB6"/>
    <w:rsid w:val="0092427C"/>
    <w:rsid w:val="00924CCA"/>
    <w:rsid w:val="00925344"/>
    <w:rsid w:val="009256E4"/>
    <w:rsid w:val="00926EF1"/>
    <w:rsid w:val="009275BE"/>
    <w:rsid w:val="009279AB"/>
    <w:rsid w:val="00931532"/>
    <w:rsid w:val="00931CDF"/>
    <w:rsid w:val="00931DEB"/>
    <w:rsid w:val="009321B7"/>
    <w:rsid w:val="00933957"/>
    <w:rsid w:val="00933BBF"/>
    <w:rsid w:val="00933E21"/>
    <w:rsid w:val="00935C51"/>
    <w:rsid w:val="0093731F"/>
    <w:rsid w:val="009379E5"/>
    <w:rsid w:val="00937AA2"/>
    <w:rsid w:val="009401D3"/>
    <w:rsid w:val="009406FF"/>
    <w:rsid w:val="0094090E"/>
    <w:rsid w:val="00940EBA"/>
    <w:rsid w:val="00941130"/>
    <w:rsid w:val="009414C7"/>
    <w:rsid w:val="009425B9"/>
    <w:rsid w:val="00942EF8"/>
    <w:rsid w:val="00943798"/>
    <w:rsid w:val="0094478A"/>
    <w:rsid w:val="00944966"/>
    <w:rsid w:val="00944D51"/>
    <w:rsid w:val="00945067"/>
    <w:rsid w:val="00946A05"/>
    <w:rsid w:val="00950071"/>
    <w:rsid w:val="00950605"/>
    <w:rsid w:val="0095091E"/>
    <w:rsid w:val="0095123F"/>
    <w:rsid w:val="0095142E"/>
    <w:rsid w:val="00952233"/>
    <w:rsid w:val="009529BB"/>
    <w:rsid w:val="00954916"/>
    <w:rsid w:val="00954D66"/>
    <w:rsid w:val="00956B86"/>
    <w:rsid w:val="0095727C"/>
    <w:rsid w:val="00960512"/>
    <w:rsid w:val="009606BC"/>
    <w:rsid w:val="00961878"/>
    <w:rsid w:val="00962821"/>
    <w:rsid w:val="00963F8F"/>
    <w:rsid w:val="0096435F"/>
    <w:rsid w:val="00965967"/>
    <w:rsid w:val="00965F6E"/>
    <w:rsid w:val="00966B88"/>
    <w:rsid w:val="00967759"/>
    <w:rsid w:val="00970F97"/>
    <w:rsid w:val="00971183"/>
    <w:rsid w:val="00971556"/>
    <w:rsid w:val="009726FD"/>
    <w:rsid w:val="009727BB"/>
    <w:rsid w:val="009735DF"/>
    <w:rsid w:val="009735EC"/>
    <w:rsid w:val="00973AF4"/>
    <w:rsid w:val="00973C62"/>
    <w:rsid w:val="00974518"/>
    <w:rsid w:val="009747FA"/>
    <w:rsid w:val="00975D76"/>
    <w:rsid w:val="00976768"/>
    <w:rsid w:val="00980501"/>
    <w:rsid w:val="00980724"/>
    <w:rsid w:val="0098105E"/>
    <w:rsid w:val="0098171C"/>
    <w:rsid w:val="009819A9"/>
    <w:rsid w:val="00981BD0"/>
    <w:rsid w:val="00982084"/>
    <w:rsid w:val="00982E51"/>
    <w:rsid w:val="00982F03"/>
    <w:rsid w:val="009841E2"/>
    <w:rsid w:val="00984477"/>
    <w:rsid w:val="009844DC"/>
    <w:rsid w:val="00984D83"/>
    <w:rsid w:val="00985173"/>
    <w:rsid w:val="00985685"/>
    <w:rsid w:val="00985D35"/>
    <w:rsid w:val="0098737B"/>
    <w:rsid w:val="00987386"/>
    <w:rsid w:val="009874B9"/>
    <w:rsid w:val="00987612"/>
    <w:rsid w:val="0099025C"/>
    <w:rsid w:val="009908A7"/>
    <w:rsid w:val="00991D11"/>
    <w:rsid w:val="00993581"/>
    <w:rsid w:val="00993F61"/>
    <w:rsid w:val="009942FF"/>
    <w:rsid w:val="00994592"/>
    <w:rsid w:val="009947F9"/>
    <w:rsid w:val="00994978"/>
    <w:rsid w:val="009954D6"/>
    <w:rsid w:val="0099553D"/>
    <w:rsid w:val="0099590F"/>
    <w:rsid w:val="009A0216"/>
    <w:rsid w:val="009A17CC"/>
    <w:rsid w:val="009A288C"/>
    <w:rsid w:val="009A477E"/>
    <w:rsid w:val="009A596E"/>
    <w:rsid w:val="009A5D1D"/>
    <w:rsid w:val="009A64C1"/>
    <w:rsid w:val="009A64EA"/>
    <w:rsid w:val="009A74DA"/>
    <w:rsid w:val="009A74EF"/>
    <w:rsid w:val="009B1009"/>
    <w:rsid w:val="009B2042"/>
    <w:rsid w:val="009B2DB6"/>
    <w:rsid w:val="009B404F"/>
    <w:rsid w:val="009B4A10"/>
    <w:rsid w:val="009B6697"/>
    <w:rsid w:val="009B6E9D"/>
    <w:rsid w:val="009C0072"/>
    <w:rsid w:val="009C023D"/>
    <w:rsid w:val="009C1402"/>
    <w:rsid w:val="009C17E1"/>
    <w:rsid w:val="009C189C"/>
    <w:rsid w:val="009C19AB"/>
    <w:rsid w:val="009C2B43"/>
    <w:rsid w:val="009C2EA4"/>
    <w:rsid w:val="009C3079"/>
    <w:rsid w:val="009C39A6"/>
    <w:rsid w:val="009C3F71"/>
    <w:rsid w:val="009C44BA"/>
    <w:rsid w:val="009C4761"/>
    <w:rsid w:val="009C47F5"/>
    <w:rsid w:val="009C4AFA"/>
    <w:rsid w:val="009C4C04"/>
    <w:rsid w:val="009C4DF1"/>
    <w:rsid w:val="009C4F2E"/>
    <w:rsid w:val="009C53AA"/>
    <w:rsid w:val="009C5806"/>
    <w:rsid w:val="009C61EC"/>
    <w:rsid w:val="009C6F31"/>
    <w:rsid w:val="009C765F"/>
    <w:rsid w:val="009D0635"/>
    <w:rsid w:val="009D0E6B"/>
    <w:rsid w:val="009D2B57"/>
    <w:rsid w:val="009D2E4B"/>
    <w:rsid w:val="009D3043"/>
    <w:rsid w:val="009D3163"/>
    <w:rsid w:val="009D3189"/>
    <w:rsid w:val="009D418D"/>
    <w:rsid w:val="009D44B8"/>
    <w:rsid w:val="009D45D1"/>
    <w:rsid w:val="009D5645"/>
    <w:rsid w:val="009D5703"/>
    <w:rsid w:val="009D5E47"/>
    <w:rsid w:val="009D6048"/>
    <w:rsid w:val="009D6173"/>
    <w:rsid w:val="009D6AE8"/>
    <w:rsid w:val="009D79E7"/>
    <w:rsid w:val="009E0072"/>
    <w:rsid w:val="009E0572"/>
    <w:rsid w:val="009E0612"/>
    <w:rsid w:val="009E0B75"/>
    <w:rsid w:val="009E1C91"/>
    <w:rsid w:val="009E1C95"/>
    <w:rsid w:val="009E252A"/>
    <w:rsid w:val="009E25D8"/>
    <w:rsid w:val="009E30F7"/>
    <w:rsid w:val="009E3244"/>
    <w:rsid w:val="009E46A8"/>
    <w:rsid w:val="009E51F0"/>
    <w:rsid w:val="009E5D01"/>
    <w:rsid w:val="009E5FCB"/>
    <w:rsid w:val="009E63D9"/>
    <w:rsid w:val="009E6C34"/>
    <w:rsid w:val="009E7BE5"/>
    <w:rsid w:val="009F04D4"/>
    <w:rsid w:val="009F0ADC"/>
    <w:rsid w:val="009F0E53"/>
    <w:rsid w:val="009F150E"/>
    <w:rsid w:val="009F20CC"/>
    <w:rsid w:val="009F20D3"/>
    <w:rsid w:val="009F403C"/>
    <w:rsid w:val="009F4DBB"/>
    <w:rsid w:val="009F5105"/>
    <w:rsid w:val="009F5227"/>
    <w:rsid w:val="009F5DCA"/>
    <w:rsid w:val="009F669B"/>
    <w:rsid w:val="009F6919"/>
    <w:rsid w:val="009F6DE3"/>
    <w:rsid w:val="009F7566"/>
    <w:rsid w:val="00A01D0E"/>
    <w:rsid w:val="00A0207F"/>
    <w:rsid w:val="00A02943"/>
    <w:rsid w:val="00A04FED"/>
    <w:rsid w:val="00A0541F"/>
    <w:rsid w:val="00A062AA"/>
    <w:rsid w:val="00A06388"/>
    <w:rsid w:val="00A06663"/>
    <w:rsid w:val="00A06BFE"/>
    <w:rsid w:val="00A105B1"/>
    <w:rsid w:val="00A10F5D"/>
    <w:rsid w:val="00A1243C"/>
    <w:rsid w:val="00A12504"/>
    <w:rsid w:val="00A125C9"/>
    <w:rsid w:val="00A12A80"/>
    <w:rsid w:val="00A135AE"/>
    <w:rsid w:val="00A1361F"/>
    <w:rsid w:val="00A1364F"/>
    <w:rsid w:val="00A13934"/>
    <w:rsid w:val="00A14AF1"/>
    <w:rsid w:val="00A14C37"/>
    <w:rsid w:val="00A164D6"/>
    <w:rsid w:val="00A165CD"/>
    <w:rsid w:val="00A16891"/>
    <w:rsid w:val="00A173C9"/>
    <w:rsid w:val="00A2029C"/>
    <w:rsid w:val="00A202FA"/>
    <w:rsid w:val="00A20398"/>
    <w:rsid w:val="00A2073C"/>
    <w:rsid w:val="00A20D5C"/>
    <w:rsid w:val="00A21F6E"/>
    <w:rsid w:val="00A220E7"/>
    <w:rsid w:val="00A224DA"/>
    <w:rsid w:val="00A23288"/>
    <w:rsid w:val="00A2355F"/>
    <w:rsid w:val="00A23783"/>
    <w:rsid w:val="00A243B5"/>
    <w:rsid w:val="00A24650"/>
    <w:rsid w:val="00A24CDE"/>
    <w:rsid w:val="00A25199"/>
    <w:rsid w:val="00A2574E"/>
    <w:rsid w:val="00A268CE"/>
    <w:rsid w:val="00A269E2"/>
    <w:rsid w:val="00A270C6"/>
    <w:rsid w:val="00A319FC"/>
    <w:rsid w:val="00A31A0B"/>
    <w:rsid w:val="00A31C00"/>
    <w:rsid w:val="00A3223A"/>
    <w:rsid w:val="00A32D95"/>
    <w:rsid w:val="00A32FBD"/>
    <w:rsid w:val="00A33025"/>
    <w:rsid w:val="00A332E8"/>
    <w:rsid w:val="00A3496F"/>
    <w:rsid w:val="00A34E35"/>
    <w:rsid w:val="00A34FD0"/>
    <w:rsid w:val="00A35AF5"/>
    <w:rsid w:val="00A35DDF"/>
    <w:rsid w:val="00A35E1C"/>
    <w:rsid w:val="00A36836"/>
    <w:rsid w:val="00A36CBA"/>
    <w:rsid w:val="00A375C1"/>
    <w:rsid w:val="00A37845"/>
    <w:rsid w:val="00A40CDA"/>
    <w:rsid w:val="00A41F8F"/>
    <w:rsid w:val="00A4278C"/>
    <w:rsid w:val="00A431D2"/>
    <w:rsid w:val="00A442CA"/>
    <w:rsid w:val="00A45340"/>
    <w:rsid w:val="00A45741"/>
    <w:rsid w:val="00A459F3"/>
    <w:rsid w:val="00A45D28"/>
    <w:rsid w:val="00A469A6"/>
    <w:rsid w:val="00A46DF4"/>
    <w:rsid w:val="00A46F36"/>
    <w:rsid w:val="00A470D8"/>
    <w:rsid w:val="00A50291"/>
    <w:rsid w:val="00A51961"/>
    <w:rsid w:val="00A51FC9"/>
    <w:rsid w:val="00A52770"/>
    <w:rsid w:val="00A52B2E"/>
    <w:rsid w:val="00A530E4"/>
    <w:rsid w:val="00A5451D"/>
    <w:rsid w:val="00A547E2"/>
    <w:rsid w:val="00A54D82"/>
    <w:rsid w:val="00A54E4B"/>
    <w:rsid w:val="00A55111"/>
    <w:rsid w:val="00A55321"/>
    <w:rsid w:val="00A559AA"/>
    <w:rsid w:val="00A55A0A"/>
    <w:rsid w:val="00A55AC9"/>
    <w:rsid w:val="00A55CA8"/>
    <w:rsid w:val="00A5618E"/>
    <w:rsid w:val="00A56265"/>
    <w:rsid w:val="00A56DD0"/>
    <w:rsid w:val="00A57D94"/>
    <w:rsid w:val="00A604CD"/>
    <w:rsid w:val="00A608AF"/>
    <w:rsid w:val="00A60A72"/>
    <w:rsid w:val="00A60FE6"/>
    <w:rsid w:val="00A6109B"/>
    <w:rsid w:val="00A622F5"/>
    <w:rsid w:val="00A62904"/>
    <w:rsid w:val="00A64C89"/>
    <w:rsid w:val="00A654BE"/>
    <w:rsid w:val="00A65BDD"/>
    <w:rsid w:val="00A65DEF"/>
    <w:rsid w:val="00A66B45"/>
    <w:rsid w:val="00A66DD6"/>
    <w:rsid w:val="00A708FD"/>
    <w:rsid w:val="00A70E3F"/>
    <w:rsid w:val="00A7246A"/>
    <w:rsid w:val="00A738C3"/>
    <w:rsid w:val="00A738FB"/>
    <w:rsid w:val="00A73AAB"/>
    <w:rsid w:val="00A75AA6"/>
    <w:rsid w:val="00A75EDA"/>
    <w:rsid w:val="00A762D5"/>
    <w:rsid w:val="00A76D1C"/>
    <w:rsid w:val="00A76D49"/>
    <w:rsid w:val="00A771FD"/>
    <w:rsid w:val="00A80C07"/>
    <w:rsid w:val="00A80F84"/>
    <w:rsid w:val="00A81E80"/>
    <w:rsid w:val="00A81F85"/>
    <w:rsid w:val="00A8247E"/>
    <w:rsid w:val="00A826D9"/>
    <w:rsid w:val="00A83835"/>
    <w:rsid w:val="00A83FA5"/>
    <w:rsid w:val="00A844B8"/>
    <w:rsid w:val="00A84906"/>
    <w:rsid w:val="00A8525A"/>
    <w:rsid w:val="00A856A9"/>
    <w:rsid w:val="00A859C9"/>
    <w:rsid w:val="00A85A12"/>
    <w:rsid w:val="00A86633"/>
    <w:rsid w:val="00A867CD"/>
    <w:rsid w:val="00A874EF"/>
    <w:rsid w:val="00A93C1B"/>
    <w:rsid w:val="00A95415"/>
    <w:rsid w:val="00A95416"/>
    <w:rsid w:val="00A96BAC"/>
    <w:rsid w:val="00AA08C3"/>
    <w:rsid w:val="00AA10C1"/>
    <w:rsid w:val="00AA1555"/>
    <w:rsid w:val="00AA1A9E"/>
    <w:rsid w:val="00AA317D"/>
    <w:rsid w:val="00AA3C89"/>
    <w:rsid w:val="00AA4ED5"/>
    <w:rsid w:val="00AA65EF"/>
    <w:rsid w:val="00AA7218"/>
    <w:rsid w:val="00AB0E3C"/>
    <w:rsid w:val="00AB31F0"/>
    <w:rsid w:val="00AB32BD"/>
    <w:rsid w:val="00AB4182"/>
    <w:rsid w:val="00AB4723"/>
    <w:rsid w:val="00AB55B7"/>
    <w:rsid w:val="00AB58B6"/>
    <w:rsid w:val="00AB5A3C"/>
    <w:rsid w:val="00AB6569"/>
    <w:rsid w:val="00AB6DB5"/>
    <w:rsid w:val="00AB7B49"/>
    <w:rsid w:val="00AB7DEE"/>
    <w:rsid w:val="00AC01DC"/>
    <w:rsid w:val="00AC0D56"/>
    <w:rsid w:val="00AC12B9"/>
    <w:rsid w:val="00AC149C"/>
    <w:rsid w:val="00AC1718"/>
    <w:rsid w:val="00AC183D"/>
    <w:rsid w:val="00AC1EC4"/>
    <w:rsid w:val="00AC2C14"/>
    <w:rsid w:val="00AC347A"/>
    <w:rsid w:val="00AC43B3"/>
    <w:rsid w:val="00AC4CDB"/>
    <w:rsid w:val="00AC4D15"/>
    <w:rsid w:val="00AC4DD3"/>
    <w:rsid w:val="00AC7044"/>
    <w:rsid w:val="00AC70FE"/>
    <w:rsid w:val="00AC7115"/>
    <w:rsid w:val="00AC7701"/>
    <w:rsid w:val="00AC7BFB"/>
    <w:rsid w:val="00AD0684"/>
    <w:rsid w:val="00AD097B"/>
    <w:rsid w:val="00AD0D19"/>
    <w:rsid w:val="00AD0F25"/>
    <w:rsid w:val="00AD3093"/>
    <w:rsid w:val="00AD36A8"/>
    <w:rsid w:val="00AD3EE0"/>
    <w:rsid w:val="00AD4358"/>
    <w:rsid w:val="00AD4DC7"/>
    <w:rsid w:val="00AD594A"/>
    <w:rsid w:val="00AD6515"/>
    <w:rsid w:val="00AE008F"/>
    <w:rsid w:val="00AE054C"/>
    <w:rsid w:val="00AE0E55"/>
    <w:rsid w:val="00AE0F3C"/>
    <w:rsid w:val="00AE2046"/>
    <w:rsid w:val="00AE38FE"/>
    <w:rsid w:val="00AE4705"/>
    <w:rsid w:val="00AE5313"/>
    <w:rsid w:val="00AE5387"/>
    <w:rsid w:val="00AE57C0"/>
    <w:rsid w:val="00AE6CE5"/>
    <w:rsid w:val="00AE71FE"/>
    <w:rsid w:val="00AF10D8"/>
    <w:rsid w:val="00AF12EA"/>
    <w:rsid w:val="00AF187B"/>
    <w:rsid w:val="00AF2213"/>
    <w:rsid w:val="00AF2991"/>
    <w:rsid w:val="00AF3CCB"/>
    <w:rsid w:val="00AF44F1"/>
    <w:rsid w:val="00AF50B0"/>
    <w:rsid w:val="00AF52A9"/>
    <w:rsid w:val="00AF5D41"/>
    <w:rsid w:val="00AF61E1"/>
    <w:rsid w:val="00AF638A"/>
    <w:rsid w:val="00AF7347"/>
    <w:rsid w:val="00B00141"/>
    <w:rsid w:val="00B009AA"/>
    <w:rsid w:val="00B00BD5"/>
    <w:rsid w:val="00B00ECE"/>
    <w:rsid w:val="00B011BE"/>
    <w:rsid w:val="00B01804"/>
    <w:rsid w:val="00B01DBC"/>
    <w:rsid w:val="00B023EA"/>
    <w:rsid w:val="00B02C23"/>
    <w:rsid w:val="00B02F2C"/>
    <w:rsid w:val="00B030C8"/>
    <w:rsid w:val="00B039C0"/>
    <w:rsid w:val="00B03A69"/>
    <w:rsid w:val="00B03E62"/>
    <w:rsid w:val="00B04EF7"/>
    <w:rsid w:val="00B056E7"/>
    <w:rsid w:val="00B05B54"/>
    <w:rsid w:val="00B05B71"/>
    <w:rsid w:val="00B07576"/>
    <w:rsid w:val="00B07A47"/>
    <w:rsid w:val="00B07AD7"/>
    <w:rsid w:val="00B10035"/>
    <w:rsid w:val="00B102E8"/>
    <w:rsid w:val="00B10611"/>
    <w:rsid w:val="00B112A6"/>
    <w:rsid w:val="00B12175"/>
    <w:rsid w:val="00B12855"/>
    <w:rsid w:val="00B129D0"/>
    <w:rsid w:val="00B134B3"/>
    <w:rsid w:val="00B145F7"/>
    <w:rsid w:val="00B146C9"/>
    <w:rsid w:val="00B15790"/>
    <w:rsid w:val="00B15C76"/>
    <w:rsid w:val="00B165E6"/>
    <w:rsid w:val="00B16D32"/>
    <w:rsid w:val="00B17F3A"/>
    <w:rsid w:val="00B201D7"/>
    <w:rsid w:val="00B2036B"/>
    <w:rsid w:val="00B21596"/>
    <w:rsid w:val="00B226EA"/>
    <w:rsid w:val="00B22C92"/>
    <w:rsid w:val="00B235DB"/>
    <w:rsid w:val="00B23703"/>
    <w:rsid w:val="00B24091"/>
    <w:rsid w:val="00B24AA3"/>
    <w:rsid w:val="00B251EF"/>
    <w:rsid w:val="00B25AC6"/>
    <w:rsid w:val="00B25C88"/>
    <w:rsid w:val="00B26211"/>
    <w:rsid w:val="00B26BD2"/>
    <w:rsid w:val="00B2733F"/>
    <w:rsid w:val="00B277FF"/>
    <w:rsid w:val="00B30260"/>
    <w:rsid w:val="00B308AD"/>
    <w:rsid w:val="00B30E5A"/>
    <w:rsid w:val="00B3189F"/>
    <w:rsid w:val="00B31AB4"/>
    <w:rsid w:val="00B31BAD"/>
    <w:rsid w:val="00B322C5"/>
    <w:rsid w:val="00B32562"/>
    <w:rsid w:val="00B34049"/>
    <w:rsid w:val="00B34BCC"/>
    <w:rsid w:val="00B35ACB"/>
    <w:rsid w:val="00B35CC6"/>
    <w:rsid w:val="00B36CD8"/>
    <w:rsid w:val="00B375B0"/>
    <w:rsid w:val="00B402C0"/>
    <w:rsid w:val="00B4077F"/>
    <w:rsid w:val="00B40D1A"/>
    <w:rsid w:val="00B41513"/>
    <w:rsid w:val="00B41977"/>
    <w:rsid w:val="00B42179"/>
    <w:rsid w:val="00B439DA"/>
    <w:rsid w:val="00B44663"/>
    <w:rsid w:val="00B447C0"/>
    <w:rsid w:val="00B45088"/>
    <w:rsid w:val="00B457FB"/>
    <w:rsid w:val="00B4610A"/>
    <w:rsid w:val="00B46331"/>
    <w:rsid w:val="00B46763"/>
    <w:rsid w:val="00B478CA"/>
    <w:rsid w:val="00B47A78"/>
    <w:rsid w:val="00B501E7"/>
    <w:rsid w:val="00B505A8"/>
    <w:rsid w:val="00B516B5"/>
    <w:rsid w:val="00B51962"/>
    <w:rsid w:val="00B51ED9"/>
    <w:rsid w:val="00B525AA"/>
    <w:rsid w:val="00B534A2"/>
    <w:rsid w:val="00B546E2"/>
    <w:rsid w:val="00B548A2"/>
    <w:rsid w:val="00B54FED"/>
    <w:rsid w:val="00B55517"/>
    <w:rsid w:val="00B55627"/>
    <w:rsid w:val="00B55E6F"/>
    <w:rsid w:val="00B55F3C"/>
    <w:rsid w:val="00B56934"/>
    <w:rsid w:val="00B56C1C"/>
    <w:rsid w:val="00B57BB5"/>
    <w:rsid w:val="00B57F86"/>
    <w:rsid w:val="00B57FF8"/>
    <w:rsid w:val="00B60049"/>
    <w:rsid w:val="00B6095F"/>
    <w:rsid w:val="00B61401"/>
    <w:rsid w:val="00B61DA1"/>
    <w:rsid w:val="00B629A8"/>
    <w:rsid w:val="00B62AB1"/>
    <w:rsid w:val="00B62F03"/>
    <w:rsid w:val="00B631E7"/>
    <w:rsid w:val="00B64C32"/>
    <w:rsid w:val="00B66225"/>
    <w:rsid w:val="00B6791E"/>
    <w:rsid w:val="00B67DE5"/>
    <w:rsid w:val="00B708D1"/>
    <w:rsid w:val="00B70ACA"/>
    <w:rsid w:val="00B70AEA"/>
    <w:rsid w:val="00B70D28"/>
    <w:rsid w:val="00B71676"/>
    <w:rsid w:val="00B71C13"/>
    <w:rsid w:val="00B72056"/>
    <w:rsid w:val="00B7239D"/>
    <w:rsid w:val="00B72444"/>
    <w:rsid w:val="00B724A0"/>
    <w:rsid w:val="00B7259E"/>
    <w:rsid w:val="00B73B00"/>
    <w:rsid w:val="00B73CBD"/>
    <w:rsid w:val="00B74800"/>
    <w:rsid w:val="00B748ED"/>
    <w:rsid w:val="00B755E6"/>
    <w:rsid w:val="00B75645"/>
    <w:rsid w:val="00B75884"/>
    <w:rsid w:val="00B765D3"/>
    <w:rsid w:val="00B76B6B"/>
    <w:rsid w:val="00B80E1E"/>
    <w:rsid w:val="00B814A6"/>
    <w:rsid w:val="00B8159B"/>
    <w:rsid w:val="00B81D1B"/>
    <w:rsid w:val="00B82FA5"/>
    <w:rsid w:val="00B83353"/>
    <w:rsid w:val="00B83708"/>
    <w:rsid w:val="00B83F40"/>
    <w:rsid w:val="00B84050"/>
    <w:rsid w:val="00B844DE"/>
    <w:rsid w:val="00B869D1"/>
    <w:rsid w:val="00B86D50"/>
    <w:rsid w:val="00B90C84"/>
    <w:rsid w:val="00B91B21"/>
    <w:rsid w:val="00B93167"/>
    <w:rsid w:val="00B93B62"/>
    <w:rsid w:val="00B953D1"/>
    <w:rsid w:val="00B9681F"/>
    <w:rsid w:val="00B96D93"/>
    <w:rsid w:val="00BA0185"/>
    <w:rsid w:val="00BA124F"/>
    <w:rsid w:val="00BA2336"/>
    <w:rsid w:val="00BA249E"/>
    <w:rsid w:val="00BA30D0"/>
    <w:rsid w:val="00BA3149"/>
    <w:rsid w:val="00BA3590"/>
    <w:rsid w:val="00BA40ED"/>
    <w:rsid w:val="00BA51BF"/>
    <w:rsid w:val="00BA66D2"/>
    <w:rsid w:val="00BA6716"/>
    <w:rsid w:val="00BA7B7B"/>
    <w:rsid w:val="00BB0026"/>
    <w:rsid w:val="00BB03FB"/>
    <w:rsid w:val="00BB08B5"/>
    <w:rsid w:val="00BB0D2E"/>
    <w:rsid w:val="00BB0D32"/>
    <w:rsid w:val="00BB15F3"/>
    <w:rsid w:val="00BB1840"/>
    <w:rsid w:val="00BB3C99"/>
    <w:rsid w:val="00BB3FB4"/>
    <w:rsid w:val="00BB4D1C"/>
    <w:rsid w:val="00BB4E16"/>
    <w:rsid w:val="00BB57D7"/>
    <w:rsid w:val="00BB688E"/>
    <w:rsid w:val="00BB70D1"/>
    <w:rsid w:val="00BB74DD"/>
    <w:rsid w:val="00BC022C"/>
    <w:rsid w:val="00BC03D9"/>
    <w:rsid w:val="00BC0600"/>
    <w:rsid w:val="00BC0645"/>
    <w:rsid w:val="00BC2974"/>
    <w:rsid w:val="00BC2AF9"/>
    <w:rsid w:val="00BC2B6C"/>
    <w:rsid w:val="00BC3617"/>
    <w:rsid w:val="00BC426A"/>
    <w:rsid w:val="00BC4325"/>
    <w:rsid w:val="00BC61A8"/>
    <w:rsid w:val="00BC6336"/>
    <w:rsid w:val="00BC65A4"/>
    <w:rsid w:val="00BC69FC"/>
    <w:rsid w:val="00BC76B5"/>
    <w:rsid w:val="00BC7926"/>
    <w:rsid w:val="00BC7ACD"/>
    <w:rsid w:val="00BD00B4"/>
    <w:rsid w:val="00BD03E9"/>
    <w:rsid w:val="00BD0F99"/>
    <w:rsid w:val="00BD144C"/>
    <w:rsid w:val="00BD1DFF"/>
    <w:rsid w:val="00BD20BC"/>
    <w:rsid w:val="00BD2BB9"/>
    <w:rsid w:val="00BD2CD3"/>
    <w:rsid w:val="00BD2FE6"/>
    <w:rsid w:val="00BD4028"/>
    <w:rsid w:val="00BD5420"/>
    <w:rsid w:val="00BD5752"/>
    <w:rsid w:val="00BD60C6"/>
    <w:rsid w:val="00BD60F9"/>
    <w:rsid w:val="00BD65A7"/>
    <w:rsid w:val="00BD6B03"/>
    <w:rsid w:val="00BD6BAA"/>
    <w:rsid w:val="00BD7226"/>
    <w:rsid w:val="00BE09FD"/>
    <w:rsid w:val="00BE14B3"/>
    <w:rsid w:val="00BE1CCC"/>
    <w:rsid w:val="00BE2358"/>
    <w:rsid w:val="00BE2586"/>
    <w:rsid w:val="00BE339A"/>
    <w:rsid w:val="00BE4874"/>
    <w:rsid w:val="00BE56C1"/>
    <w:rsid w:val="00BE5A1D"/>
    <w:rsid w:val="00BE5DEA"/>
    <w:rsid w:val="00BE6197"/>
    <w:rsid w:val="00BE6EBD"/>
    <w:rsid w:val="00BE6F5A"/>
    <w:rsid w:val="00BF109C"/>
    <w:rsid w:val="00BF14BA"/>
    <w:rsid w:val="00BF2C2E"/>
    <w:rsid w:val="00BF3E82"/>
    <w:rsid w:val="00BF4967"/>
    <w:rsid w:val="00BF56F8"/>
    <w:rsid w:val="00BF60EA"/>
    <w:rsid w:val="00BF679C"/>
    <w:rsid w:val="00BF760F"/>
    <w:rsid w:val="00C00128"/>
    <w:rsid w:val="00C00A95"/>
    <w:rsid w:val="00C00FB2"/>
    <w:rsid w:val="00C021AD"/>
    <w:rsid w:val="00C03B20"/>
    <w:rsid w:val="00C04BD2"/>
    <w:rsid w:val="00C050CF"/>
    <w:rsid w:val="00C05B25"/>
    <w:rsid w:val="00C05B89"/>
    <w:rsid w:val="00C05E73"/>
    <w:rsid w:val="00C07E64"/>
    <w:rsid w:val="00C101C6"/>
    <w:rsid w:val="00C10AAA"/>
    <w:rsid w:val="00C1125A"/>
    <w:rsid w:val="00C1128F"/>
    <w:rsid w:val="00C118C3"/>
    <w:rsid w:val="00C11AC4"/>
    <w:rsid w:val="00C126AA"/>
    <w:rsid w:val="00C13328"/>
    <w:rsid w:val="00C13A91"/>
    <w:rsid w:val="00C13EEC"/>
    <w:rsid w:val="00C141C0"/>
    <w:rsid w:val="00C14689"/>
    <w:rsid w:val="00C14868"/>
    <w:rsid w:val="00C14BA9"/>
    <w:rsid w:val="00C156A4"/>
    <w:rsid w:val="00C158F7"/>
    <w:rsid w:val="00C16343"/>
    <w:rsid w:val="00C16639"/>
    <w:rsid w:val="00C16E05"/>
    <w:rsid w:val="00C17FCB"/>
    <w:rsid w:val="00C2022D"/>
    <w:rsid w:val="00C2036A"/>
    <w:rsid w:val="00C20EC9"/>
    <w:rsid w:val="00C20FAA"/>
    <w:rsid w:val="00C211C0"/>
    <w:rsid w:val="00C21F64"/>
    <w:rsid w:val="00C2201F"/>
    <w:rsid w:val="00C2328E"/>
    <w:rsid w:val="00C23B76"/>
    <w:rsid w:val="00C2459D"/>
    <w:rsid w:val="00C256E0"/>
    <w:rsid w:val="00C25925"/>
    <w:rsid w:val="00C259B9"/>
    <w:rsid w:val="00C25FA0"/>
    <w:rsid w:val="00C27042"/>
    <w:rsid w:val="00C2755A"/>
    <w:rsid w:val="00C27E85"/>
    <w:rsid w:val="00C30647"/>
    <w:rsid w:val="00C306F7"/>
    <w:rsid w:val="00C311FA"/>
    <w:rsid w:val="00C316F1"/>
    <w:rsid w:val="00C31A90"/>
    <w:rsid w:val="00C31D05"/>
    <w:rsid w:val="00C339AD"/>
    <w:rsid w:val="00C35073"/>
    <w:rsid w:val="00C35BA6"/>
    <w:rsid w:val="00C363DA"/>
    <w:rsid w:val="00C367D0"/>
    <w:rsid w:val="00C36C96"/>
    <w:rsid w:val="00C37FDA"/>
    <w:rsid w:val="00C41239"/>
    <w:rsid w:val="00C41FBC"/>
    <w:rsid w:val="00C42C95"/>
    <w:rsid w:val="00C4305A"/>
    <w:rsid w:val="00C430A0"/>
    <w:rsid w:val="00C430E1"/>
    <w:rsid w:val="00C43589"/>
    <w:rsid w:val="00C4435D"/>
    <w:rsid w:val="00C4470F"/>
    <w:rsid w:val="00C44A9E"/>
    <w:rsid w:val="00C451AF"/>
    <w:rsid w:val="00C46F03"/>
    <w:rsid w:val="00C474A0"/>
    <w:rsid w:val="00C50417"/>
    <w:rsid w:val="00C50727"/>
    <w:rsid w:val="00C52A02"/>
    <w:rsid w:val="00C52F55"/>
    <w:rsid w:val="00C53437"/>
    <w:rsid w:val="00C53568"/>
    <w:rsid w:val="00C54174"/>
    <w:rsid w:val="00C54C6D"/>
    <w:rsid w:val="00C55E5B"/>
    <w:rsid w:val="00C56A10"/>
    <w:rsid w:val="00C56B8C"/>
    <w:rsid w:val="00C57273"/>
    <w:rsid w:val="00C60298"/>
    <w:rsid w:val="00C6065C"/>
    <w:rsid w:val="00C61513"/>
    <w:rsid w:val="00C61C80"/>
    <w:rsid w:val="00C62739"/>
    <w:rsid w:val="00C63677"/>
    <w:rsid w:val="00C63797"/>
    <w:rsid w:val="00C63F14"/>
    <w:rsid w:val="00C641FD"/>
    <w:rsid w:val="00C6487A"/>
    <w:rsid w:val="00C65083"/>
    <w:rsid w:val="00C65C53"/>
    <w:rsid w:val="00C65F02"/>
    <w:rsid w:val="00C6602B"/>
    <w:rsid w:val="00C66041"/>
    <w:rsid w:val="00C667B9"/>
    <w:rsid w:val="00C667C9"/>
    <w:rsid w:val="00C66C68"/>
    <w:rsid w:val="00C66F3B"/>
    <w:rsid w:val="00C67730"/>
    <w:rsid w:val="00C704E1"/>
    <w:rsid w:val="00C7153D"/>
    <w:rsid w:val="00C71FF7"/>
    <w:rsid w:val="00C720A4"/>
    <w:rsid w:val="00C743E4"/>
    <w:rsid w:val="00C74C6D"/>
    <w:rsid w:val="00C7596B"/>
    <w:rsid w:val="00C7611C"/>
    <w:rsid w:val="00C7682F"/>
    <w:rsid w:val="00C76E53"/>
    <w:rsid w:val="00C7789C"/>
    <w:rsid w:val="00C81F87"/>
    <w:rsid w:val="00C825B1"/>
    <w:rsid w:val="00C8296C"/>
    <w:rsid w:val="00C82A8A"/>
    <w:rsid w:val="00C82BDC"/>
    <w:rsid w:val="00C82F54"/>
    <w:rsid w:val="00C833AE"/>
    <w:rsid w:val="00C833BE"/>
    <w:rsid w:val="00C83D4A"/>
    <w:rsid w:val="00C83D79"/>
    <w:rsid w:val="00C866A6"/>
    <w:rsid w:val="00C8719A"/>
    <w:rsid w:val="00C8783C"/>
    <w:rsid w:val="00C878F1"/>
    <w:rsid w:val="00C87A52"/>
    <w:rsid w:val="00C87EB1"/>
    <w:rsid w:val="00C9074E"/>
    <w:rsid w:val="00C90AD1"/>
    <w:rsid w:val="00C90BAB"/>
    <w:rsid w:val="00C90CE1"/>
    <w:rsid w:val="00C90DA6"/>
    <w:rsid w:val="00C9221E"/>
    <w:rsid w:val="00C94097"/>
    <w:rsid w:val="00C94AAB"/>
    <w:rsid w:val="00C94BA6"/>
    <w:rsid w:val="00C9585C"/>
    <w:rsid w:val="00C96607"/>
    <w:rsid w:val="00C97B4E"/>
    <w:rsid w:val="00CA002A"/>
    <w:rsid w:val="00CA026B"/>
    <w:rsid w:val="00CA0A09"/>
    <w:rsid w:val="00CA2B92"/>
    <w:rsid w:val="00CA2C54"/>
    <w:rsid w:val="00CA4269"/>
    <w:rsid w:val="00CA42D0"/>
    <w:rsid w:val="00CA5DAD"/>
    <w:rsid w:val="00CA5E36"/>
    <w:rsid w:val="00CA6EF8"/>
    <w:rsid w:val="00CA7215"/>
    <w:rsid w:val="00CA7330"/>
    <w:rsid w:val="00CA79EB"/>
    <w:rsid w:val="00CB1667"/>
    <w:rsid w:val="00CB1820"/>
    <w:rsid w:val="00CB182F"/>
    <w:rsid w:val="00CB1C84"/>
    <w:rsid w:val="00CB40D3"/>
    <w:rsid w:val="00CB433E"/>
    <w:rsid w:val="00CB49EF"/>
    <w:rsid w:val="00CB4F04"/>
    <w:rsid w:val="00CB5363"/>
    <w:rsid w:val="00CB5BBD"/>
    <w:rsid w:val="00CB6188"/>
    <w:rsid w:val="00CB64F0"/>
    <w:rsid w:val="00CB6E79"/>
    <w:rsid w:val="00CB6E7D"/>
    <w:rsid w:val="00CB7276"/>
    <w:rsid w:val="00CB78CA"/>
    <w:rsid w:val="00CC11B3"/>
    <w:rsid w:val="00CC1F68"/>
    <w:rsid w:val="00CC2909"/>
    <w:rsid w:val="00CC30AF"/>
    <w:rsid w:val="00CC79D5"/>
    <w:rsid w:val="00CD01EE"/>
    <w:rsid w:val="00CD0549"/>
    <w:rsid w:val="00CD0DEE"/>
    <w:rsid w:val="00CD0E03"/>
    <w:rsid w:val="00CD1C17"/>
    <w:rsid w:val="00CD1D94"/>
    <w:rsid w:val="00CD21E8"/>
    <w:rsid w:val="00CD22F9"/>
    <w:rsid w:val="00CD29C1"/>
    <w:rsid w:val="00CD3292"/>
    <w:rsid w:val="00CD3851"/>
    <w:rsid w:val="00CD3B04"/>
    <w:rsid w:val="00CD3CE5"/>
    <w:rsid w:val="00CD50F8"/>
    <w:rsid w:val="00CD5336"/>
    <w:rsid w:val="00CD5E7C"/>
    <w:rsid w:val="00CD5F17"/>
    <w:rsid w:val="00CD6FDA"/>
    <w:rsid w:val="00CD7046"/>
    <w:rsid w:val="00CD71C7"/>
    <w:rsid w:val="00CD777B"/>
    <w:rsid w:val="00CD79C9"/>
    <w:rsid w:val="00CD7BFD"/>
    <w:rsid w:val="00CE04B6"/>
    <w:rsid w:val="00CE0703"/>
    <w:rsid w:val="00CE0E39"/>
    <w:rsid w:val="00CE11E8"/>
    <w:rsid w:val="00CE1789"/>
    <w:rsid w:val="00CE268A"/>
    <w:rsid w:val="00CE2970"/>
    <w:rsid w:val="00CE2C9A"/>
    <w:rsid w:val="00CE44A3"/>
    <w:rsid w:val="00CE4A8C"/>
    <w:rsid w:val="00CE6672"/>
    <w:rsid w:val="00CE6AAC"/>
    <w:rsid w:val="00CE6B3C"/>
    <w:rsid w:val="00CE6D3F"/>
    <w:rsid w:val="00CE7BA9"/>
    <w:rsid w:val="00CE7C8F"/>
    <w:rsid w:val="00CF1091"/>
    <w:rsid w:val="00CF1430"/>
    <w:rsid w:val="00CF24BF"/>
    <w:rsid w:val="00CF2516"/>
    <w:rsid w:val="00CF2BBD"/>
    <w:rsid w:val="00CF354B"/>
    <w:rsid w:val="00CF38FC"/>
    <w:rsid w:val="00CF3B13"/>
    <w:rsid w:val="00CF3D0A"/>
    <w:rsid w:val="00CF5F43"/>
    <w:rsid w:val="00CF64E4"/>
    <w:rsid w:val="00CF7552"/>
    <w:rsid w:val="00CF762B"/>
    <w:rsid w:val="00CF78CF"/>
    <w:rsid w:val="00D00208"/>
    <w:rsid w:val="00D00C61"/>
    <w:rsid w:val="00D00E55"/>
    <w:rsid w:val="00D0152D"/>
    <w:rsid w:val="00D01927"/>
    <w:rsid w:val="00D03B76"/>
    <w:rsid w:val="00D03D4C"/>
    <w:rsid w:val="00D03E2B"/>
    <w:rsid w:val="00D03E3F"/>
    <w:rsid w:val="00D04FF5"/>
    <w:rsid w:val="00D05016"/>
    <w:rsid w:val="00D05861"/>
    <w:rsid w:val="00D05E6F"/>
    <w:rsid w:val="00D07903"/>
    <w:rsid w:val="00D07B3A"/>
    <w:rsid w:val="00D07FC9"/>
    <w:rsid w:val="00D10A2A"/>
    <w:rsid w:val="00D12013"/>
    <w:rsid w:val="00D12BC1"/>
    <w:rsid w:val="00D12DB0"/>
    <w:rsid w:val="00D13CEB"/>
    <w:rsid w:val="00D13D9D"/>
    <w:rsid w:val="00D144E0"/>
    <w:rsid w:val="00D15987"/>
    <w:rsid w:val="00D15AE3"/>
    <w:rsid w:val="00D1610B"/>
    <w:rsid w:val="00D16A52"/>
    <w:rsid w:val="00D1771C"/>
    <w:rsid w:val="00D17C92"/>
    <w:rsid w:val="00D201EC"/>
    <w:rsid w:val="00D20296"/>
    <w:rsid w:val="00D20536"/>
    <w:rsid w:val="00D2303E"/>
    <w:rsid w:val="00D2371A"/>
    <w:rsid w:val="00D24C0A"/>
    <w:rsid w:val="00D25FE7"/>
    <w:rsid w:val="00D26C70"/>
    <w:rsid w:val="00D26E42"/>
    <w:rsid w:val="00D27929"/>
    <w:rsid w:val="00D300CB"/>
    <w:rsid w:val="00D301C5"/>
    <w:rsid w:val="00D30CAE"/>
    <w:rsid w:val="00D33442"/>
    <w:rsid w:val="00D34F6A"/>
    <w:rsid w:val="00D3534C"/>
    <w:rsid w:val="00D36702"/>
    <w:rsid w:val="00D37CA6"/>
    <w:rsid w:val="00D401A0"/>
    <w:rsid w:val="00D40675"/>
    <w:rsid w:val="00D407B5"/>
    <w:rsid w:val="00D40BF4"/>
    <w:rsid w:val="00D419C6"/>
    <w:rsid w:val="00D41C43"/>
    <w:rsid w:val="00D42851"/>
    <w:rsid w:val="00D428D5"/>
    <w:rsid w:val="00D42B1D"/>
    <w:rsid w:val="00D43582"/>
    <w:rsid w:val="00D43995"/>
    <w:rsid w:val="00D44053"/>
    <w:rsid w:val="00D44228"/>
    <w:rsid w:val="00D44BAD"/>
    <w:rsid w:val="00D44EA6"/>
    <w:rsid w:val="00D454C0"/>
    <w:rsid w:val="00D457B0"/>
    <w:rsid w:val="00D45B55"/>
    <w:rsid w:val="00D4732D"/>
    <w:rsid w:val="00D47B13"/>
    <w:rsid w:val="00D47CE6"/>
    <w:rsid w:val="00D50C42"/>
    <w:rsid w:val="00D50F37"/>
    <w:rsid w:val="00D510E0"/>
    <w:rsid w:val="00D51BEA"/>
    <w:rsid w:val="00D5277D"/>
    <w:rsid w:val="00D52959"/>
    <w:rsid w:val="00D52DDC"/>
    <w:rsid w:val="00D54502"/>
    <w:rsid w:val="00D56675"/>
    <w:rsid w:val="00D567A2"/>
    <w:rsid w:val="00D5685A"/>
    <w:rsid w:val="00D56A7C"/>
    <w:rsid w:val="00D57FFB"/>
    <w:rsid w:val="00D60AA5"/>
    <w:rsid w:val="00D60E18"/>
    <w:rsid w:val="00D63C77"/>
    <w:rsid w:val="00D6604C"/>
    <w:rsid w:val="00D66FD7"/>
    <w:rsid w:val="00D67152"/>
    <w:rsid w:val="00D67444"/>
    <w:rsid w:val="00D679C2"/>
    <w:rsid w:val="00D7049D"/>
    <w:rsid w:val="00D7097B"/>
    <w:rsid w:val="00D7202B"/>
    <w:rsid w:val="00D72326"/>
    <w:rsid w:val="00D73024"/>
    <w:rsid w:val="00D74053"/>
    <w:rsid w:val="00D748E0"/>
    <w:rsid w:val="00D7687F"/>
    <w:rsid w:val="00D76892"/>
    <w:rsid w:val="00D76A31"/>
    <w:rsid w:val="00D76C60"/>
    <w:rsid w:val="00D77D4E"/>
    <w:rsid w:val="00D8075C"/>
    <w:rsid w:val="00D80C2D"/>
    <w:rsid w:val="00D812D0"/>
    <w:rsid w:val="00D81780"/>
    <w:rsid w:val="00D82B1A"/>
    <w:rsid w:val="00D82C20"/>
    <w:rsid w:val="00D85912"/>
    <w:rsid w:val="00D85A89"/>
    <w:rsid w:val="00D861DB"/>
    <w:rsid w:val="00D874AC"/>
    <w:rsid w:val="00D914BD"/>
    <w:rsid w:val="00D91DFA"/>
    <w:rsid w:val="00D92865"/>
    <w:rsid w:val="00D929D8"/>
    <w:rsid w:val="00D933C7"/>
    <w:rsid w:val="00D935CF"/>
    <w:rsid w:val="00D95CFD"/>
    <w:rsid w:val="00D95D78"/>
    <w:rsid w:val="00D97A67"/>
    <w:rsid w:val="00DA095D"/>
    <w:rsid w:val="00DA1556"/>
    <w:rsid w:val="00DA159A"/>
    <w:rsid w:val="00DA1AC9"/>
    <w:rsid w:val="00DA4154"/>
    <w:rsid w:val="00DA46FB"/>
    <w:rsid w:val="00DA4AA3"/>
    <w:rsid w:val="00DA51E9"/>
    <w:rsid w:val="00DA5317"/>
    <w:rsid w:val="00DA6154"/>
    <w:rsid w:val="00DA658E"/>
    <w:rsid w:val="00DA69DD"/>
    <w:rsid w:val="00DA6D2A"/>
    <w:rsid w:val="00DB00D6"/>
    <w:rsid w:val="00DB0B4F"/>
    <w:rsid w:val="00DB108C"/>
    <w:rsid w:val="00DB19B6"/>
    <w:rsid w:val="00DB1AB2"/>
    <w:rsid w:val="00DB1AF7"/>
    <w:rsid w:val="00DB22A0"/>
    <w:rsid w:val="00DB2A58"/>
    <w:rsid w:val="00DB3070"/>
    <w:rsid w:val="00DB433D"/>
    <w:rsid w:val="00DB495E"/>
    <w:rsid w:val="00DB5B35"/>
    <w:rsid w:val="00DB6A2C"/>
    <w:rsid w:val="00DB6D03"/>
    <w:rsid w:val="00DC07B8"/>
    <w:rsid w:val="00DC0F3B"/>
    <w:rsid w:val="00DC2AF4"/>
    <w:rsid w:val="00DC4420"/>
    <w:rsid w:val="00DC44C9"/>
    <w:rsid w:val="00DC4FDF"/>
    <w:rsid w:val="00DC66F0"/>
    <w:rsid w:val="00DC67A1"/>
    <w:rsid w:val="00DC697E"/>
    <w:rsid w:val="00DC723B"/>
    <w:rsid w:val="00DC7414"/>
    <w:rsid w:val="00DD2267"/>
    <w:rsid w:val="00DD30AD"/>
    <w:rsid w:val="00DD3264"/>
    <w:rsid w:val="00DD3A4E"/>
    <w:rsid w:val="00DD3A65"/>
    <w:rsid w:val="00DD5C6F"/>
    <w:rsid w:val="00DD5CA5"/>
    <w:rsid w:val="00DD62C6"/>
    <w:rsid w:val="00DD6A9B"/>
    <w:rsid w:val="00DD7172"/>
    <w:rsid w:val="00DD7304"/>
    <w:rsid w:val="00DD73FC"/>
    <w:rsid w:val="00DD7410"/>
    <w:rsid w:val="00DE00B5"/>
    <w:rsid w:val="00DE16FA"/>
    <w:rsid w:val="00DE1CD3"/>
    <w:rsid w:val="00DE2EA2"/>
    <w:rsid w:val="00DE3165"/>
    <w:rsid w:val="00DE32F6"/>
    <w:rsid w:val="00DE3B92"/>
    <w:rsid w:val="00DE43FF"/>
    <w:rsid w:val="00DE4560"/>
    <w:rsid w:val="00DE59F7"/>
    <w:rsid w:val="00DE5C0F"/>
    <w:rsid w:val="00DE6648"/>
    <w:rsid w:val="00DE6ABB"/>
    <w:rsid w:val="00DE6CD7"/>
    <w:rsid w:val="00DE7137"/>
    <w:rsid w:val="00DE78FD"/>
    <w:rsid w:val="00DE7A89"/>
    <w:rsid w:val="00DF27C3"/>
    <w:rsid w:val="00DF3E08"/>
    <w:rsid w:val="00DF4989"/>
    <w:rsid w:val="00DF4B77"/>
    <w:rsid w:val="00DF4F7C"/>
    <w:rsid w:val="00DF658C"/>
    <w:rsid w:val="00DF6BD5"/>
    <w:rsid w:val="00E00498"/>
    <w:rsid w:val="00E006DE"/>
    <w:rsid w:val="00E0078B"/>
    <w:rsid w:val="00E00928"/>
    <w:rsid w:val="00E02A59"/>
    <w:rsid w:val="00E03614"/>
    <w:rsid w:val="00E0473E"/>
    <w:rsid w:val="00E0784D"/>
    <w:rsid w:val="00E07EEC"/>
    <w:rsid w:val="00E07F5B"/>
    <w:rsid w:val="00E101BF"/>
    <w:rsid w:val="00E10FFA"/>
    <w:rsid w:val="00E12BDE"/>
    <w:rsid w:val="00E13178"/>
    <w:rsid w:val="00E139EE"/>
    <w:rsid w:val="00E13B0C"/>
    <w:rsid w:val="00E142D9"/>
    <w:rsid w:val="00E14341"/>
    <w:rsid w:val="00E14ADB"/>
    <w:rsid w:val="00E153CA"/>
    <w:rsid w:val="00E159A2"/>
    <w:rsid w:val="00E161B4"/>
    <w:rsid w:val="00E1636E"/>
    <w:rsid w:val="00E17A62"/>
    <w:rsid w:val="00E203C2"/>
    <w:rsid w:val="00E20433"/>
    <w:rsid w:val="00E20A50"/>
    <w:rsid w:val="00E21732"/>
    <w:rsid w:val="00E2207A"/>
    <w:rsid w:val="00E22A10"/>
    <w:rsid w:val="00E23306"/>
    <w:rsid w:val="00E239E3"/>
    <w:rsid w:val="00E2425D"/>
    <w:rsid w:val="00E24C2F"/>
    <w:rsid w:val="00E25714"/>
    <w:rsid w:val="00E2617A"/>
    <w:rsid w:val="00E26405"/>
    <w:rsid w:val="00E2711A"/>
    <w:rsid w:val="00E27408"/>
    <w:rsid w:val="00E27AD3"/>
    <w:rsid w:val="00E27B85"/>
    <w:rsid w:val="00E305A7"/>
    <w:rsid w:val="00E30D1F"/>
    <w:rsid w:val="00E3108E"/>
    <w:rsid w:val="00E31CD4"/>
    <w:rsid w:val="00E31E5B"/>
    <w:rsid w:val="00E32360"/>
    <w:rsid w:val="00E327B5"/>
    <w:rsid w:val="00E328E1"/>
    <w:rsid w:val="00E33F16"/>
    <w:rsid w:val="00E35E65"/>
    <w:rsid w:val="00E370F8"/>
    <w:rsid w:val="00E376C1"/>
    <w:rsid w:val="00E377C1"/>
    <w:rsid w:val="00E402FB"/>
    <w:rsid w:val="00E404DF"/>
    <w:rsid w:val="00E406DB"/>
    <w:rsid w:val="00E415CC"/>
    <w:rsid w:val="00E4218D"/>
    <w:rsid w:val="00E42263"/>
    <w:rsid w:val="00E42486"/>
    <w:rsid w:val="00E4334A"/>
    <w:rsid w:val="00E441D5"/>
    <w:rsid w:val="00E445CC"/>
    <w:rsid w:val="00E465A5"/>
    <w:rsid w:val="00E46C5D"/>
    <w:rsid w:val="00E46CE0"/>
    <w:rsid w:val="00E47ABD"/>
    <w:rsid w:val="00E50194"/>
    <w:rsid w:val="00E505C5"/>
    <w:rsid w:val="00E516C0"/>
    <w:rsid w:val="00E5170D"/>
    <w:rsid w:val="00E53017"/>
    <w:rsid w:val="00E536FD"/>
    <w:rsid w:val="00E538E6"/>
    <w:rsid w:val="00E53EFB"/>
    <w:rsid w:val="00E54B9A"/>
    <w:rsid w:val="00E560DE"/>
    <w:rsid w:val="00E56CB9"/>
    <w:rsid w:val="00E56EB1"/>
    <w:rsid w:val="00E5758B"/>
    <w:rsid w:val="00E57CC2"/>
    <w:rsid w:val="00E57EA1"/>
    <w:rsid w:val="00E60072"/>
    <w:rsid w:val="00E60118"/>
    <w:rsid w:val="00E60727"/>
    <w:rsid w:val="00E60BB4"/>
    <w:rsid w:val="00E61896"/>
    <w:rsid w:val="00E61D5C"/>
    <w:rsid w:val="00E62023"/>
    <w:rsid w:val="00E63991"/>
    <w:rsid w:val="00E658DA"/>
    <w:rsid w:val="00E65CCB"/>
    <w:rsid w:val="00E675DF"/>
    <w:rsid w:val="00E70516"/>
    <w:rsid w:val="00E70940"/>
    <w:rsid w:val="00E712F4"/>
    <w:rsid w:val="00E71352"/>
    <w:rsid w:val="00E715E6"/>
    <w:rsid w:val="00E71CAD"/>
    <w:rsid w:val="00E72B08"/>
    <w:rsid w:val="00E735C0"/>
    <w:rsid w:val="00E73EC1"/>
    <w:rsid w:val="00E74332"/>
    <w:rsid w:val="00E7462C"/>
    <w:rsid w:val="00E74C1C"/>
    <w:rsid w:val="00E74D3A"/>
    <w:rsid w:val="00E751A8"/>
    <w:rsid w:val="00E802A2"/>
    <w:rsid w:val="00E8163D"/>
    <w:rsid w:val="00E818D7"/>
    <w:rsid w:val="00E81B04"/>
    <w:rsid w:val="00E81E26"/>
    <w:rsid w:val="00E81F53"/>
    <w:rsid w:val="00E82261"/>
    <w:rsid w:val="00E82477"/>
    <w:rsid w:val="00E82DDC"/>
    <w:rsid w:val="00E83426"/>
    <w:rsid w:val="00E834D8"/>
    <w:rsid w:val="00E83FC7"/>
    <w:rsid w:val="00E841FD"/>
    <w:rsid w:val="00E84AD1"/>
    <w:rsid w:val="00E84DA1"/>
    <w:rsid w:val="00E85017"/>
    <w:rsid w:val="00E85C0B"/>
    <w:rsid w:val="00E8645F"/>
    <w:rsid w:val="00E91087"/>
    <w:rsid w:val="00E929A9"/>
    <w:rsid w:val="00E94676"/>
    <w:rsid w:val="00E94C43"/>
    <w:rsid w:val="00E96BF7"/>
    <w:rsid w:val="00E96C53"/>
    <w:rsid w:val="00E971B8"/>
    <w:rsid w:val="00E97252"/>
    <w:rsid w:val="00E972BE"/>
    <w:rsid w:val="00EA1EDB"/>
    <w:rsid w:val="00EA3F05"/>
    <w:rsid w:val="00EA4477"/>
    <w:rsid w:val="00EA51CC"/>
    <w:rsid w:val="00EA58EA"/>
    <w:rsid w:val="00EA6313"/>
    <w:rsid w:val="00EA67E1"/>
    <w:rsid w:val="00EA6EA4"/>
    <w:rsid w:val="00EA7626"/>
    <w:rsid w:val="00EA7730"/>
    <w:rsid w:val="00EB13D7"/>
    <w:rsid w:val="00EB1E83"/>
    <w:rsid w:val="00EB1ED2"/>
    <w:rsid w:val="00EB3536"/>
    <w:rsid w:val="00EB3E67"/>
    <w:rsid w:val="00EB4294"/>
    <w:rsid w:val="00EB6E49"/>
    <w:rsid w:val="00EB72C1"/>
    <w:rsid w:val="00EB7C4F"/>
    <w:rsid w:val="00EC0554"/>
    <w:rsid w:val="00EC139F"/>
    <w:rsid w:val="00EC18AE"/>
    <w:rsid w:val="00EC2ECE"/>
    <w:rsid w:val="00EC301B"/>
    <w:rsid w:val="00EC3523"/>
    <w:rsid w:val="00EC3D9F"/>
    <w:rsid w:val="00EC408F"/>
    <w:rsid w:val="00EC4B15"/>
    <w:rsid w:val="00EC55FA"/>
    <w:rsid w:val="00EC7D84"/>
    <w:rsid w:val="00EC7EA0"/>
    <w:rsid w:val="00ED0823"/>
    <w:rsid w:val="00ED0DB7"/>
    <w:rsid w:val="00ED18C4"/>
    <w:rsid w:val="00ED1FA5"/>
    <w:rsid w:val="00ED1FFE"/>
    <w:rsid w:val="00ED22CB"/>
    <w:rsid w:val="00ED2304"/>
    <w:rsid w:val="00ED2E93"/>
    <w:rsid w:val="00ED3724"/>
    <w:rsid w:val="00ED3735"/>
    <w:rsid w:val="00ED5AF9"/>
    <w:rsid w:val="00ED5F95"/>
    <w:rsid w:val="00ED67AF"/>
    <w:rsid w:val="00ED71FF"/>
    <w:rsid w:val="00ED7703"/>
    <w:rsid w:val="00EE0418"/>
    <w:rsid w:val="00EE087A"/>
    <w:rsid w:val="00EE128C"/>
    <w:rsid w:val="00EE1F29"/>
    <w:rsid w:val="00EE2704"/>
    <w:rsid w:val="00EE297E"/>
    <w:rsid w:val="00EE4271"/>
    <w:rsid w:val="00EE44D7"/>
    <w:rsid w:val="00EE4539"/>
    <w:rsid w:val="00EE46E5"/>
    <w:rsid w:val="00EE4C48"/>
    <w:rsid w:val="00EE4D73"/>
    <w:rsid w:val="00EE5572"/>
    <w:rsid w:val="00EE5F65"/>
    <w:rsid w:val="00EE6A0C"/>
    <w:rsid w:val="00EF06E1"/>
    <w:rsid w:val="00EF193B"/>
    <w:rsid w:val="00EF1E8D"/>
    <w:rsid w:val="00EF2082"/>
    <w:rsid w:val="00EF2A49"/>
    <w:rsid w:val="00EF3218"/>
    <w:rsid w:val="00EF3FF8"/>
    <w:rsid w:val="00EF4056"/>
    <w:rsid w:val="00EF4CC6"/>
    <w:rsid w:val="00EF5A37"/>
    <w:rsid w:val="00EF6326"/>
    <w:rsid w:val="00EF66D9"/>
    <w:rsid w:val="00EF68E3"/>
    <w:rsid w:val="00EF6BA5"/>
    <w:rsid w:val="00EF780D"/>
    <w:rsid w:val="00EF7A98"/>
    <w:rsid w:val="00EF7B44"/>
    <w:rsid w:val="00F00816"/>
    <w:rsid w:val="00F01370"/>
    <w:rsid w:val="00F01F12"/>
    <w:rsid w:val="00F01FBD"/>
    <w:rsid w:val="00F0267E"/>
    <w:rsid w:val="00F02687"/>
    <w:rsid w:val="00F02A3A"/>
    <w:rsid w:val="00F030E5"/>
    <w:rsid w:val="00F04A45"/>
    <w:rsid w:val="00F05B36"/>
    <w:rsid w:val="00F0675F"/>
    <w:rsid w:val="00F06857"/>
    <w:rsid w:val="00F068FD"/>
    <w:rsid w:val="00F11194"/>
    <w:rsid w:val="00F112C8"/>
    <w:rsid w:val="00F112D2"/>
    <w:rsid w:val="00F116E4"/>
    <w:rsid w:val="00F11B47"/>
    <w:rsid w:val="00F1294E"/>
    <w:rsid w:val="00F12F0C"/>
    <w:rsid w:val="00F131E5"/>
    <w:rsid w:val="00F13558"/>
    <w:rsid w:val="00F15B95"/>
    <w:rsid w:val="00F16239"/>
    <w:rsid w:val="00F168A3"/>
    <w:rsid w:val="00F16C1A"/>
    <w:rsid w:val="00F20504"/>
    <w:rsid w:val="00F20C64"/>
    <w:rsid w:val="00F21108"/>
    <w:rsid w:val="00F21140"/>
    <w:rsid w:val="00F213B9"/>
    <w:rsid w:val="00F21998"/>
    <w:rsid w:val="00F21A6D"/>
    <w:rsid w:val="00F2218B"/>
    <w:rsid w:val="00F23C92"/>
    <w:rsid w:val="00F2412D"/>
    <w:rsid w:val="00F25027"/>
    <w:rsid w:val="00F254F3"/>
    <w:rsid w:val="00F25859"/>
    <w:rsid w:val="00F25D8D"/>
    <w:rsid w:val="00F25E93"/>
    <w:rsid w:val="00F2602E"/>
    <w:rsid w:val="00F2616A"/>
    <w:rsid w:val="00F2678A"/>
    <w:rsid w:val="00F271BB"/>
    <w:rsid w:val="00F27E33"/>
    <w:rsid w:val="00F30FD6"/>
    <w:rsid w:val="00F31FE0"/>
    <w:rsid w:val="00F32125"/>
    <w:rsid w:val="00F32ABD"/>
    <w:rsid w:val="00F32B07"/>
    <w:rsid w:val="00F32BD6"/>
    <w:rsid w:val="00F32C38"/>
    <w:rsid w:val="00F3368C"/>
    <w:rsid w:val="00F337A3"/>
    <w:rsid w:val="00F354D8"/>
    <w:rsid w:val="00F355A4"/>
    <w:rsid w:val="00F35C76"/>
    <w:rsid w:val="00F3603E"/>
    <w:rsid w:val="00F370C6"/>
    <w:rsid w:val="00F372F4"/>
    <w:rsid w:val="00F37BC6"/>
    <w:rsid w:val="00F37D89"/>
    <w:rsid w:val="00F40A41"/>
    <w:rsid w:val="00F42AC5"/>
    <w:rsid w:val="00F44587"/>
    <w:rsid w:val="00F44CCB"/>
    <w:rsid w:val="00F464CA"/>
    <w:rsid w:val="00F474C9"/>
    <w:rsid w:val="00F47CBC"/>
    <w:rsid w:val="00F50D9D"/>
    <w:rsid w:val="00F511BE"/>
    <w:rsid w:val="00F5126B"/>
    <w:rsid w:val="00F518CE"/>
    <w:rsid w:val="00F5213C"/>
    <w:rsid w:val="00F53F92"/>
    <w:rsid w:val="00F5414E"/>
    <w:rsid w:val="00F54E4D"/>
    <w:rsid w:val="00F54EA3"/>
    <w:rsid w:val="00F54F33"/>
    <w:rsid w:val="00F5587D"/>
    <w:rsid w:val="00F55946"/>
    <w:rsid w:val="00F56C1B"/>
    <w:rsid w:val="00F56F08"/>
    <w:rsid w:val="00F576B2"/>
    <w:rsid w:val="00F5794E"/>
    <w:rsid w:val="00F57950"/>
    <w:rsid w:val="00F603A9"/>
    <w:rsid w:val="00F60E40"/>
    <w:rsid w:val="00F60FAC"/>
    <w:rsid w:val="00F6124A"/>
    <w:rsid w:val="00F61675"/>
    <w:rsid w:val="00F61AB1"/>
    <w:rsid w:val="00F61FC7"/>
    <w:rsid w:val="00F62878"/>
    <w:rsid w:val="00F636E9"/>
    <w:rsid w:val="00F63A34"/>
    <w:rsid w:val="00F64411"/>
    <w:rsid w:val="00F64747"/>
    <w:rsid w:val="00F64CEE"/>
    <w:rsid w:val="00F65169"/>
    <w:rsid w:val="00F654C2"/>
    <w:rsid w:val="00F657C9"/>
    <w:rsid w:val="00F6686B"/>
    <w:rsid w:val="00F66CC3"/>
    <w:rsid w:val="00F6787B"/>
    <w:rsid w:val="00F67AD7"/>
    <w:rsid w:val="00F67F74"/>
    <w:rsid w:val="00F7075F"/>
    <w:rsid w:val="00F71190"/>
    <w:rsid w:val="00F712B3"/>
    <w:rsid w:val="00F73DE3"/>
    <w:rsid w:val="00F744BF"/>
    <w:rsid w:val="00F74FBE"/>
    <w:rsid w:val="00F7500D"/>
    <w:rsid w:val="00F7502C"/>
    <w:rsid w:val="00F760B7"/>
    <w:rsid w:val="00F7632C"/>
    <w:rsid w:val="00F76B99"/>
    <w:rsid w:val="00F76D75"/>
    <w:rsid w:val="00F76F8E"/>
    <w:rsid w:val="00F77165"/>
    <w:rsid w:val="00F77219"/>
    <w:rsid w:val="00F80E31"/>
    <w:rsid w:val="00F80E5C"/>
    <w:rsid w:val="00F80EA3"/>
    <w:rsid w:val="00F8111E"/>
    <w:rsid w:val="00F812F6"/>
    <w:rsid w:val="00F81BDE"/>
    <w:rsid w:val="00F81D9E"/>
    <w:rsid w:val="00F81F89"/>
    <w:rsid w:val="00F82256"/>
    <w:rsid w:val="00F825DA"/>
    <w:rsid w:val="00F82C53"/>
    <w:rsid w:val="00F82FD8"/>
    <w:rsid w:val="00F831BB"/>
    <w:rsid w:val="00F83A12"/>
    <w:rsid w:val="00F84BFB"/>
    <w:rsid w:val="00F84DD2"/>
    <w:rsid w:val="00F84E23"/>
    <w:rsid w:val="00F85BC9"/>
    <w:rsid w:val="00F861DE"/>
    <w:rsid w:val="00F8684D"/>
    <w:rsid w:val="00F8716F"/>
    <w:rsid w:val="00F87CE6"/>
    <w:rsid w:val="00F90978"/>
    <w:rsid w:val="00F9108C"/>
    <w:rsid w:val="00F918BE"/>
    <w:rsid w:val="00F91F3C"/>
    <w:rsid w:val="00F92225"/>
    <w:rsid w:val="00F92D85"/>
    <w:rsid w:val="00F92FF8"/>
    <w:rsid w:val="00F934C0"/>
    <w:rsid w:val="00F942B7"/>
    <w:rsid w:val="00F96729"/>
    <w:rsid w:val="00FA0B17"/>
    <w:rsid w:val="00FA1C81"/>
    <w:rsid w:val="00FA229C"/>
    <w:rsid w:val="00FA30CD"/>
    <w:rsid w:val="00FA32E7"/>
    <w:rsid w:val="00FA3500"/>
    <w:rsid w:val="00FA4F90"/>
    <w:rsid w:val="00FA50E4"/>
    <w:rsid w:val="00FA5565"/>
    <w:rsid w:val="00FA6930"/>
    <w:rsid w:val="00FA7DDC"/>
    <w:rsid w:val="00FB026A"/>
    <w:rsid w:val="00FB0872"/>
    <w:rsid w:val="00FB147D"/>
    <w:rsid w:val="00FB1BA1"/>
    <w:rsid w:val="00FB229A"/>
    <w:rsid w:val="00FB25DC"/>
    <w:rsid w:val="00FB2A14"/>
    <w:rsid w:val="00FB2AA1"/>
    <w:rsid w:val="00FB2BBE"/>
    <w:rsid w:val="00FB2E51"/>
    <w:rsid w:val="00FB30D6"/>
    <w:rsid w:val="00FB506F"/>
    <w:rsid w:val="00FB54CC"/>
    <w:rsid w:val="00FB64EE"/>
    <w:rsid w:val="00FB6820"/>
    <w:rsid w:val="00FB71DC"/>
    <w:rsid w:val="00FB7E6A"/>
    <w:rsid w:val="00FC013C"/>
    <w:rsid w:val="00FC047C"/>
    <w:rsid w:val="00FC0506"/>
    <w:rsid w:val="00FC07EA"/>
    <w:rsid w:val="00FC0C42"/>
    <w:rsid w:val="00FC1EF7"/>
    <w:rsid w:val="00FC228F"/>
    <w:rsid w:val="00FC29D2"/>
    <w:rsid w:val="00FC46D9"/>
    <w:rsid w:val="00FC578B"/>
    <w:rsid w:val="00FD11AB"/>
    <w:rsid w:val="00FD153F"/>
    <w:rsid w:val="00FD16E7"/>
    <w:rsid w:val="00FD1A37"/>
    <w:rsid w:val="00FD2207"/>
    <w:rsid w:val="00FD4E5B"/>
    <w:rsid w:val="00FD5446"/>
    <w:rsid w:val="00FD75FD"/>
    <w:rsid w:val="00FE1075"/>
    <w:rsid w:val="00FE2804"/>
    <w:rsid w:val="00FE2AD9"/>
    <w:rsid w:val="00FE3544"/>
    <w:rsid w:val="00FE35CC"/>
    <w:rsid w:val="00FE380A"/>
    <w:rsid w:val="00FE3A14"/>
    <w:rsid w:val="00FE4EE0"/>
    <w:rsid w:val="00FE5435"/>
    <w:rsid w:val="00FE55F3"/>
    <w:rsid w:val="00FE5650"/>
    <w:rsid w:val="00FE5F43"/>
    <w:rsid w:val="00FE5FD8"/>
    <w:rsid w:val="00FF199F"/>
    <w:rsid w:val="00FF3006"/>
    <w:rsid w:val="00FF34F2"/>
    <w:rsid w:val="00FF4328"/>
    <w:rsid w:val="00FF44DE"/>
    <w:rsid w:val="00FF54AC"/>
    <w:rsid w:val="00FF57D2"/>
    <w:rsid w:val="00FF5DF2"/>
    <w:rsid w:val="00FF63F4"/>
    <w:rsid w:val="00FF662D"/>
    <w:rsid w:val="03552E94"/>
    <w:rsid w:val="060B76AA"/>
    <w:rsid w:val="0EA77ABC"/>
    <w:rsid w:val="0F6C6BC8"/>
    <w:rsid w:val="0FDBC3FE"/>
    <w:rsid w:val="10E1448C"/>
    <w:rsid w:val="1177945F"/>
    <w:rsid w:val="13BF220C"/>
    <w:rsid w:val="170C4997"/>
    <w:rsid w:val="19A5084C"/>
    <w:rsid w:val="1A417E2F"/>
    <w:rsid w:val="1B2DE347"/>
    <w:rsid w:val="1C5967EE"/>
    <w:rsid w:val="1D1DF4FD"/>
    <w:rsid w:val="1EBE04F0"/>
    <w:rsid w:val="20FC3C98"/>
    <w:rsid w:val="226553DA"/>
    <w:rsid w:val="2B507CAD"/>
    <w:rsid w:val="2F3AED2D"/>
    <w:rsid w:val="2F987A32"/>
    <w:rsid w:val="364F025B"/>
    <w:rsid w:val="37C8622A"/>
    <w:rsid w:val="385420CC"/>
    <w:rsid w:val="3A7BA796"/>
    <w:rsid w:val="3AC137E7"/>
    <w:rsid w:val="3EBE2E7B"/>
    <w:rsid w:val="3ED83DC7"/>
    <w:rsid w:val="3FA532F5"/>
    <w:rsid w:val="433D376C"/>
    <w:rsid w:val="45246EB3"/>
    <w:rsid w:val="45D77616"/>
    <w:rsid w:val="4DD252B5"/>
    <w:rsid w:val="51AB72EC"/>
    <w:rsid w:val="51D6553A"/>
    <w:rsid w:val="52C248FA"/>
    <w:rsid w:val="53D83D41"/>
    <w:rsid w:val="55D02839"/>
    <w:rsid w:val="57321A9A"/>
    <w:rsid w:val="57E66290"/>
    <w:rsid w:val="58D63E23"/>
    <w:rsid w:val="67185827"/>
    <w:rsid w:val="68E91A9A"/>
    <w:rsid w:val="6957611A"/>
    <w:rsid w:val="6EFF5CD1"/>
    <w:rsid w:val="70ED6C1B"/>
    <w:rsid w:val="712F07A6"/>
    <w:rsid w:val="73370C6F"/>
    <w:rsid w:val="78DB1428"/>
    <w:rsid w:val="7A4AEAF0"/>
    <w:rsid w:val="7B511179"/>
    <w:rsid w:val="7EBE525E"/>
  </w:rsids>
  <m:mathPr>
    <m:mathFont m:val="Cambria Math"/>
    <m:brkBin m:val="before"/>
    <m:brkBinSub m:val="--"/>
    <m:smallFrac m:val="0"/>
    <m:dispDef m:val="0"/>
    <m:lMargin m:val="0"/>
    <m:rMargin m:val="0"/>
    <m:defJc m:val="centerGroup"/>
    <m:wrapRight m:val="1"/>
    <m:intLim m:val="subSup"/>
    <m:naryLim m:val="subSup"/>
  </m:mathPr>
  <w:doNotAutoCompressPictures/>
  <w:themeFontLang w:val="en-US" w:eastAsia="zh-TW"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1"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99" w:semiHidden="0" w:name="footnote text"/>
    <w:lsdException w:qFormat="1" w:unhideWhenUsed="0" w:uiPriority="99" w:name="annotation text"/>
    <w:lsdException w:qFormat="1" w:uiPriority="0" w:semiHidden="0" w:name="header"/>
    <w:lsdException w:qFormat="1"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nhideWhenUsed="0" w:uiPriority="99" w:semiHidden="0" w:name="footnote reference"/>
    <w:lsdException w:qFormat="1" w:unhideWhenUsed="0" w:uiPriority="99" w:name="annotation reference"/>
    <w:lsdException w:qFormat="1" w:unhideWhenUsed="0" w:uiPriority="1" w:semiHidden="0" w:name="line number"/>
    <w:lsdException w:qFormat="1" w:unhideWhenUsed="0" w:uiPriority="0" w:semiHidden="0" w:name="page number"/>
    <w:lsdException w:qFormat="1" w:uiPriority="0" w:name="endnote reference"/>
    <w:lsdException w:qFormat="1" w:uiPriority="0" w:semiHidden="0" w:name="endnote text"/>
    <w:lsdException w:uiPriority="0" w:name="table of authorities"/>
    <w:lsdException w:uiPriority="0" w:name="macro"/>
    <w:lsdException w:unhideWhenUsed="0" w:uiPriority="0" w:semiHidden="0" w:name="toa heading"/>
    <w:lsdException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1" w:semiHidden="0" w:name="Body Text"/>
    <w:lsdException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1" w:semiHidden="0" w:name="Block Text"/>
    <w:lsdException w:qFormat="1" w:unhideWhenUsed="0" w:uiPriority="0"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0" w:name="E-mail Signature"/>
    <w:lsdException w:qFormat="1" w:uiPriority="99" w:name="Normal (Web)"/>
    <w:lsdException w:uiPriority="0" w:name="HTML Acronym"/>
    <w:lsdException w:uiPriority="0" w:name="HTML Address"/>
    <w:lsdException w:uiPriority="99"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qFormat="1" w:unhideWhenUsed="0" w:uiPriority="99" w:semiHidden="0" w:name="Placeholder Text"/>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rPr>
      <w:rFonts w:ascii="Verdana" w:hAnsi="Verdana" w:eastAsiaTheme="minorHAnsi" w:cstheme="majorBidi"/>
      <w:color w:val="000000" w:themeColor="text1"/>
      <w:lang w:val="en-GB" w:eastAsia="zh-TW" w:bidi="ar-SA"/>
      <w14:textFill>
        <w14:solidFill>
          <w14:schemeClr w14:val="tx1"/>
        </w14:solidFill>
      </w14:textFill>
    </w:rPr>
  </w:style>
  <w:style w:type="paragraph" w:styleId="3">
    <w:name w:val="heading 1"/>
    <w:basedOn w:val="1"/>
    <w:next w:val="1"/>
    <w:link w:val="47"/>
    <w:qFormat/>
    <w:uiPriority w:val="9"/>
    <w:pPr>
      <w:keepNext/>
      <w:keepLines/>
      <w:spacing w:before="480"/>
      <w:outlineLvl w:val="0"/>
    </w:pPr>
    <w:rPr>
      <w:rFonts w:asciiTheme="majorHAnsi" w:hAnsiTheme="majorHAnsi" w:eastAsiaTheme="majorEastAsia"/>
      <w:b/>
      <w:bCs/>
      <w:color w:val="345B8A" w:themeColor="accent1" w:themeShade="B5"/>
      <w:sz w:val="32"/>
      <w:szCs w:val="32"/>
    </w:rPr>
  </w:style>
  <w:style w:type="paragraph" w:styleId="4">
    <w:name w:val="heading 2"/>
    <w:next w:val="5"/>
    <w:link w:val="48"/>
    <w:qFormat/>
    <w:uiPriority w:val="9"/>
    <w:pPr>
      <w:keepNext/>
      <w:keepLines/>
      <w:spacing w:before="360" w:after="360"/>
      <w:jc w:val="center"/>
      <w:outlineLvl w:val="1"/>
    </w:pPr>
    <w:rPr>
      <w:rFonts w:ascii="Verdana" w:hAnsi="Verdana" w:eastAsia="Verdana" w:cs="Verdana"/>
      <w:b/>
      <w:bCs/>
      <w:iCs/>
      <w:sz w:val="22"/>
      <w:szCs w:val="22"/>
      <w:lang w:val="en-GB" w:eastAsia="zh-TW" w:bidi="ar-SA"/>
    </w:rPr>
  </w:style>
  <w:style w:type="paragraph" w:styleId="6">
    <w:name w:val="heading 3"/>
    <w:next w:val="5"/>
    <w:link w:val="49"/>
    <w:qFormat/>
    <w:uiPriority w:val="9"/>
    <w:pPr>
      <w:keepNext/>
      <w:keepLines/>
      <w:tabs>
        <w:tab w:val="left" w:pos="1134"/>
      </w:tabs>
      <w:spacing w:before="360" w:after="360"/>
      <w:outlineLvl w:val="2"/>
    </w:pPr>
    <w:rPr>
      <w:rFonts w:ascii="Verdana" w:hAnsi="Verdana" w:eastAsia="Verdana" w:cs="Verdana"/>
      <w:b/>
      <w:bCs/>
      <w:lang w:val="en-GB" w:eastAsia="zh-TW" w:bidi="ar-SA"/>
    </w:rPr>
  </w:style>
  <w:style w:type="paragraph" w:styleId="7">
    <w:name w:val="heading 4"/>
    <w:next w:val="5"/>
    <w:link w:val="50"/>
    <w:qFormat/>
    <w:uiPriority w:val="9"/>
    <w:pPr>
      <w:keepNext/>
      <w:keepLines/>
      <w:spacing w:before="360"/>
      <w:ind w:left="1134" w:hanging="1134"/>
      <w:outlineLvl w:val="3"/>
    </w:pPr>
    <w:rPr>
      <w:rFonts w:ascii="Verdana" w:hAnsi="Verdana" w:eastAsia="Verdana" w:cs="Verdana"/>
      <w:b/>
      <w:i/>
      <w:lang w:val="en-GB" w:eastAsia="zh-TW" w:bidi="ar-SA"/>
    </w:rPr>
  </w:style>
  <w:style w:type="paragraph" w:styleId="8">
    <w:name w:val="heading 5"/>
    <w:basedOn w:val="1"/>
    <w:next w:val="1"/>
    <w:link w:val="51"/>
    <w:qFormat/>
    <w:uiPriority w:val="9"/>
    <w:pPr>
      <w:tabs>
        <w:tab w:val="left" w:pos="1080"/>
      </w:tabs>
      <w:spacing w:before="240"/>
      <w:ind w:left="1080" w:hanging="1080"/>
      <w:outlineLvl w:val="4"/>
    </w:pPr>
    <w:rPr>
      <w:bCs/>
      <w:i/>
      <w:iCs/>
      <w:szCs w:val="22"/>
    </w:rPr>
  </w:style>
  <w:style w:type="paragraph" w:styleId="9">
    <w:name w:val="heading 6"/>
    <w:basedOn w:val="1"/>
    <w:next w:val="1"/>
    <w:link w:val="52"/>
    <w:qFormat/>
    <w:uiPriority w:val="9"/>
    <w:pPr>
      <w:keepNext/>
      <w:widowControl w:val="0"/>
      <w:tabs>
        <w:tab w:val="center" w:pos="4513"/>
      </w:tabs>
      <w:suppressAutoHyphens/>
      <w:jc w:val="center"/>
      <w:outlineLvl w:val="5"/>
    </w:pPr>
    <w:rPr>
      <w:b/>
      <w:snapToGrid w:val="0"/>
      <w:spacing w:val="-2"/>
    </w:rPr>
  </w:style>
  <w:style w:type="paragraph" w:styleId="10">
    <w:name w:val="heading 7"/>
    <w:basedOn w:val="1"/>
    <w:next w:val="1"/>
    <w:link w:val="53"/>
    <w:qFormat/>
    <w:uiPriority w:val="9"/>
    <w:pPr>
      <w:keepNext/>
      <w:tabs>
        <w:tab w:val="left" w:pos="-722"/>
        <w:tab w:val="left" w:pos="1140"/>
        <w:tab w:val="left" w:pos="6946"/>
      </w:tabs>
      <w:suppressAutoHyphens/>
      <w:spacing w:line="252" w:lineRule="auto"/>
      <w:outlineLvl w:val="6"/>
    </w:pPr>
    <w:rPr>
      <w:b/>
      <w:bCs/>
      <w:color w:val="4436AA"/>
      <w:spacing w:val="-2"/>
      <w:sz w:val="28"/>
      <w:szCs w:val="22"/>
    </w:rPr>
  </w:style>
  <w:style w:type="paragraph" w:styleId="11">
    <w:name w:val="heading 8"/>
    <w:basedOn w:val="1"/>
    <w:next w:val="1"/>
    <w:link w:val="54"/>
    <w:qFormat/>
    <w:uiPriority w:val="9"/>
    <w:pPr>
      <w:spacing w:before="240" w:after="60"/>
      <w:outlineLvl w:val="7"/>
    </w:pPr>
    <w:rPr>
      <w:rFonts w:ascii="Times New Roman" w:hAnsi="Times New Roman" w:cs="Times New Roman"/>
      <w:i/>
      <w:iCs/>
      <w:sz w:val="24"/>
      <w:szCs w:val="24"/>
    </w:rPr>
  </w:style>
  <w:style w:type="paragraph" w:styleId="12">
    <w:name w:val="heading 9"/>
    <w:basedOn w:val="1"/>
    <w:next w:val="1"/>
    <w:link w:val="55"/>
    <w:qFormat/>
    <w:uiPriority w:val="9"/>
    <w:pPr>
      <w:spacing w:before="240" w:after="60"/>
      <w:outlineLvl w:val="8"/>
    </w:pPr>
    <w:rPr>
      <w:szCs w:val="22"/>
    </w:rPr>
  </w:style>
  <w:style w:type="character" w:default="1" w:styleId="36">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customStyle="1" w:styleId="2">
    <w:name w:val="Body_text"/>
    <w:basedOn w:val="1"/>
    <w:qFormat/>
    <w:uiPriority w:val="0"/>
    <w:pPr>
      <w:tabs>
        <w:tab w:val="left" w:pos="1120"/>
      </w:tabs>
      <w:spacing w:after="240" w:line="240" w:lineRule="exact"/>
    </w:pPr>
    <w:rPr>
      <w:szCs w:val="22"/>
    </w:rPr>
  </w:style>
  <w:style w:type="paragraph" w:customStyle="1" w:styleId="5">
    <w:name w:val="WMO_BodyText"/>
    <w:link w:val="46"/>
    <w:qFormat/>
    <w:uiPriority w:val="1"/>
    <w:pPr>
      <w:spacing w:before="240"/>
    </w:pPr>
    <w:rPr>
      <w:rFonts w:ascii="Verdana" w:hAnsi="Verdana" w:eastAsia="Verdana" w:cs="Verdana"/>
      <w:lang w:val="en-GB" w:eastAsia="zh-TW" w:bidi="ar-SA"/>
    </w:rPr>
  </w:style>
  <w:style w:type="paragraph" w:styleId="13">
    <w:name w:val="caption"/>
    <w:basedOn w:val="1"/>
    <w:next w:val="1"/>
    <w:link w:val="373"/>
    <w:unhideWhenUsed/>
    <w:qFormat/>
    <w:uiPriority w:val="0"/>
    <w:pPr>
      <w:spacing w:after="160" w:line="259" w:lineRule="auto"/>
    </w:pPr>
    <w:rPr>
      <w:rFonts w:asciiTheme="minorHAnsi" w:hAnsiTheme="minorHAnsi"/>
      <w:b/>
      <w:bCs/>
      <w:color w:val="4F81BD" w:themeColor="accent1"/>
      <w:sz w:val="18"/>
      <w:szCs w:val="18"/>
      <w:lang w:val="en-CA" w:eastAsia="en-CA"/>
      <w14:textFill>
        <w14:solidFill>
          <w14:schemeClr w14:val="accent1"/>
        </w14:solidFill>
      </w14:textFill>
    </w:rPr>
  </w:style>
  <w:style w:type="paragraph" w:styleId="14">
    <w:name w:val="Document Map"/>
    <w:basedOn w:val="1"/>
    <w:link w:val="62"/>
    <w:semiHidden/>
    <w:unhideWhenUsed/>
    <w:qFormat/>
    <w:uiPriority w:val="99"/>
    <w:rPr>
      <w:rFonts w:ascii="Lucida Grande" w:hAnsi="Lucida Grande" w:cs="Lucida Grande"/>
      <w:sz w:val="24"/>
      <w:szCs w:val="24"/>
    </w:rPr>
  </w:style>
  <w:style w:type="paragraph" w:styleId="15">
    <w:name w:val="annotation text"/>
    <w:basedOn w:val="1"/>
    <w:link w:val="74"/>
    <w:semiHidden/>
    <w:qFormat/>
    <w:uiPriority w:val="99"/>
  </w:style>
  <w:style w:type="paragraph" w:styleId="16">
    <w:name w:val="Body Text"/>
    <w:basedOn w:val="1"/>
    <w:link w:val="71"/>
    <w:qFormat/>
    <w:uiPriority w:val="1"/>
    <w:pPr>
      <w:tabs>
        <w:tab w:val="left" w:pos="1140"/>
      </w:tabs>
      <w:jc w:val="center"/>
    </w:pPr>
    <w:rPr>
      <w:rFonts w:eastAsia="宋体"/>
      <w:b/>
      <w:bCs/>
      <w:sz w:val="24"/>
      <w:szCs w:val="24"/>
      <w:lang w:eastAsia="zh-CN"/>
    </w:rPr>
  </w:style>
  <w:style w:type="paragraph" w:styleId="17">
    <w:name w:val="Block Text"/>
    <w:basedOn w:val="1"/>
    <w:qFormat/>
    <w:uiPriority w:val="1"/>
    <w:pPr>
      <w:ind w:left="567" w:right="566"/>
    </w:pPr>
    <w:rPr>
      <w:rFonts w:ascii="Univers" w:hAnsi="Univers"/>
      <w:sz w:val="21"/>
    </w:rPr>
  </w:style>
  <w:style w:type="paragraph" w:styleId="18">
    <w:name w:val="toc 3"/>
    <w:basedOn w:val="1"/>
    <w:next w:val="1"/>
    <w:qFormat/>
    <w:uiPriority w:val="39"/>
    <w:pPr>
      <w:ind w:left="400"/>
    </w:pPr>
  </w:style>
  <w:style w:type="paragraph" w:styleId="19">
    <w:name w:val="Plain Text"/>
    <w:basedOn w:val="1"/>
    <w:link w:val="321"/>
    <w:semiHidden/>
    <w:unhideWhenUsed/>
    <w:qFormat/>
    <w:uiPriority w:val="99"/>
    <w:pPr>
      <w:spacing w:after="160" w:line="259" w:lineRule="auto"/>
    </w:pPr>
    <w:rPr>
      <w:rFonts w:ascii="Calibri" w:hAnsi="Calibri" w:cstheme="minorBidi"/>
      <w:sz w:val="22"/>
      <w:szCs w:val="21"/>
      <w:lang w:val="en-CA"/>
    </w:rPr>
  </w:style>
  <w:style w:type="paragraph" w:styleId="20">
    <w:name w:val="endnote text"/>
    <w:basedOn w:val="1"/>
    <w:link w:val="342"/>
    <w:unhideWhenUsed/>
    <w:qFormat/>
    <w:uiPriority w:val="0"/>
  </w:style>
  <w:style w:type="paragraph" w:styleId="21">
    <w:name w:val="Balloon Text"/>
    <w:basedOn w:val="1"/>
    <w:link w:val="61"/>
    <w:semiHidden/>
    <w:unhideWhenUsed/>
    <w:qFormat/>
    <w:uiPriority w:val="99"/>
    <w:rPr>
      <w:rFonts w:ascii="Lucida Grande" w:hAnsi="Lucida Grande" w:cs="Lucida Grande"/>
      <w:sz w:val="18"/>
      <w:szCs w:val="18"/>
    </w:rPr>
  </w:style>
  <w:style w:type="paragraph" w:styleId="22">
    <w:name w:val="footer"/>
    <w:basedOn w:val="1"/>
    <w:link w:val="60"/>
    <w:unhideWhenUsed/>
    <w:qFormat/>
    <w:uiPriority w:val="99"/>
    <w:pPr>
      <w:tabs>
        <w:tab w:val="center" w:pos="4680"/>
        <w:tab w:val="right" w:pos="9360"/>
      </w:tabs>
    </w:pPr>
  </w:style>
  <w:style w:type="paragraph" w:styleId="23">
    <w:name w:val="header"/>
    <w:basedOn w:val="1"/>
    <w:link w:val="56"/>
    <w:unhideWhenUsed/>
    <w:qFormat/>
    <w:uiPriority w:val="0"/>
    <w:pPr>
      <w:tabs>
        <w:tab w:val="center" w:pos="4680"/>
        <w:tab w:val="right" w:pos="9360"/>
      </w:tabs>
    </w:pPr>
  </w:style>
  <w:style w:type="paragraph" w:styleId="24">
    <w:name w:val="Signature"/>
    <w:basedOn w:val="1"/>
    <w:link w:val="160"/>
    <w:qFormat/>
    <w:uiPriority w:val="0"/>
    <w:pPr>
      <w:spacing w:line="240" w:lineRule="exact"/>
      <w:jc w:val="right"/>
    </w:pPr>
  </w:style>
  <w:style w:type="paragraph" w:styleId="25">
    <w:name w:val="toc 1"/>
    <w:basedOn w:val="1"/>
    <w:next w:val="1"/>
    <w:qFormat/>
    <w:uiPriority w:val="39"/>
  </w:style>
  <w:style w:type="paragraph" w:styleId="26">
    <w:name w:val="toc 4"/>
    <w:basedOn w:val="1"/>
    <w:next w:val="1"/>
    <w:semiHidden/>
    <w:qFormat/>
    <w:uiPriority w:val="1"/>
    <w:pPr>
      <w:ind w:left="660"/>
    </w:pPr>
  </w:style>
  <w:style w:type="paragraph" w:styleId="27">
    <w:name w:val="Subtitle"/>
    <w:basedOn w:val="1"/>
    <w:next w:val="1"/>
    <w:link w:val="99"/>
    <w:qFormat/>
    <w:uiPriority w:val="11"/>
    <w:pPr>
      <w:spacing w:after="160" w:line="259" w:lineRule="auto"/>
    </w:pPr>
    <w:rPr>
      <w:rFonts w:asciiTheme="minorHAnsi" w:hAnsiTheme="minorHAnsi" w:eastAsiaTheme="majorEastAsia" w:cstheme="minorBidi"/>
      <w:i/>
      <w:iCs/>
      <w:color w:val="4F81BD" w:themeColor="accent1"/>
      <w:spacing w:val="15"/>
      <w:sz w:val="24"/>
      <w:szCs w:val="24"/>
      <w14:textFill>
        <w14:solidFill>
          <w14:schemeClr w14:val="accent1"/>
        </w14:solidFill>
      </w14:textFill>
    </w:rPr>
  </w:style>
  <w:style w:type="paragraph" w:styleId="28">
    <w:name w:val="footnote text"/>
    <w:basedOn w:val="1"/>
    <w:link w:val="73"/>
    <w:qFormat/>
    <w:uiPriority w:val="99"/>
    <w:rPr>
      <w:sz w:val="16"/>
    </w:rPr>
  </w:style>
  <w:style w:type="paragraph" w:styleId="29">
    <w:name w:val="toc 2"/>
    <w:basedOn w:val="1"/>
    <w:next w:val="1"/>
    <w:qFormat/>
    <w:uiPriority w:val="39"/>
    <w:pPr>
      <w:ind w:left="200"/>
    </w:pPr>
  </w:style>
  <w:style w:type="paragraph" w:styleId="30">
    <w:name w:val="Normal (Web)"/>
    <w:basedOn w:val="1"/>
    <w:semiHidden/>
    <w:unhideWhenUsed/>
    <w:qFormat/>
    <w:uiPriority w:val="99"/>
    <w:pPr>
      <w:spacing w:before="100" w:beforeAutospacing="1" w:after="100" w:afterAutospacing="1"/>
    </w:pPr>
    <w:rPr>
      <w:rFonts w:ascii="Times New Roman" w:hAnsi="Times New Roman" w:eastAsia="Times New Roman" w:cs="Times New Roman"/>
      <w:sz w:val="24"/>
      <w:szCs w:val="24"/>
      <w:lang w:val="en-US"/>
    </w:rPr>
  </w:style>
  <w:style w:type="paragraph" w:styleId="31">
    <w:name w:val="Title"/>
    <w:basedOn w:val="1"/>
    <w:link w:val="78"/>
    <w:qFormat/>
    <w:uiPriority w:val="10"/>
    <w:pPr>
      <w:spacing w:before="240" w:after="60"/>
      <w:jc w:val="center"/>
      <w:outlineLvl w:val="0"/>
    </w:pPr>
    <w:rPr>
      <w:b/>
      <w:bCs/>
      <w:kern w:val="28"/>
      <w:sz w:val="32"/>
      <w:szCs w:val="32"/>
    </w:rPr>
  </w:style>
  <w:style w:type="paragraph" w:styleId="32">
    <w:name w:val="annotation subject"/>
    <w:basedOn w:val="15"/>
    <w:next w:val="15"/>
    <w:link w:val="75"/>
    <w:semiHidden/>
    <w:qFormat/>
    <w:uiPriority w:val="99"/>
    <w:rPr>
      <w:b/>
      <w:bCs/>
    </w:rPr>
  </w:style>
  <w:style w:type="table" w:styleId="34">
    <w:name w:val="Table Grid"/>
    <w:basedOn w:val="33"/>
    <w:qFormat/>
    <w:uiPriority w:val="0"/>
    <w:rPr>
      <w:rFonts w:ascii="Verdana" w:hAnsi="Verdana" w:eastAsiaTheme="minorEastAsia" w:cstheme="minorBid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Light List"/>
    <w:basedOn w:val="33"/>
    <w:qFormat/>
    <w:uiPriority w:val="61"/>
    <w:rPr>
      <w:rFonts w:asciiTheme="minorHAnsi" w:hAnsiTheme="minorHAnsi" w:eastAsiaTheme="minorEastAsia" w:cstheme="minorBidi"/>
      <w:sz w:val="22"/>
      <w:szCs w:val="22"/>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styleId="37">
    <w:name w:val="Strong"/>
    <w:basedOn w:val="36"/>
    <w:qFormat/>
    <w:uiPriority w:val="22"/>
    <w:rPr>
      <w:b/>
      <w:bCs/>
    </w:rPr>
  </w:style>
  <w:style w:type="character" w:styleId="38">
    <w:name w:val="endnote reference"/>
    <w:basedOn w:val="36"/>
    <w:semiHidden/>
    <w:unhideWhenUsed/>
    <w:qFormat/>
    <w:uiPriority w:val="0"/>
    <w:rPr>
      <w:vertAlign w:val="superscript"/>
    </w:rPr>
  </w:style>
  <w:style w:type="character" w:styleId="39">
    <w:name w:val="page number"/>
    <w:basedOn w:val="36"/>
    <w:qFormat/>
    <w:uiPriority w:val="0"/>
  </w:style>
  <w:style w:type="character" w:styleId="40">
    <w:name w:val="FollowedHyperlink"/>
    <w:basedOn w:val="36"/>
    <w:qFormat/>
    <w:uiPriority w:val="99"/>
    <w:rPr>
      <w:color w:val="0000FF"/>
      <w:u w:val="none"/>
    </w:rPr>
  </w:style>
  <w:style w:type="character" w:styleId="41">
    <w:name w:val="Emphasis"/>
    <w:qFormat/>
    <w:uiPriority w:val="20"/>
    <w:rPr>
      <w:i/>
      <w:iCs/>
    </w:rPr>
  </w:style>
  <w:style w:type="character" w:styleId="42">
    <w:name w:val="line number"/>
    <w:basedOn w:val="36"/>
    <w:qFormat/>
    <w:uiPriority w:val="1"/>
    <w:rPr>
      <w:color w:val="808080"/>
      <w:sz w:val="20"/>
    </w:rPr>
  </w:style>
  <w:style w:type="character" w:styleId="43">
    <w:name w:val="Hyperlink"/>
    <w:basedOn w:val="36"/>
    <w:qFormat/>
    <w:uiPriority w:val="0"/>
    <w:rPr>
      <w:color w:val="0000FF" w:themeColor="hyperlink"/>
      <w:u w:val="none"/>
      <w14:textFill>
        <w14:solidFill>
          <w14:schemeClr w14:val="hlink"/>
        </w14:solidFill>
      </w14:textFill>
    </w:rPr>
  </w:style>
  <w:style w:type="character" w:styleId="44">
    <w:name w:val="annotation reference"/>
    <w:basedOn w:val="36"/>
    <w:semiHidden/>
    <w:qFormat/>
    <w:uiPriority w:val="99"/>
    <w:rPr>
      <w:sz w:val="16"/>
      <w:szCs w:val="16"/>
    </w:rPr>
  </w:style>
  <w:style w:type="character" w:styleId="45">
    <w:name w:val="footnote reference"/>
    <w:basedOn w:val="36"/>
    <w:qFormat/>
    <w:uiPriority w:val="99"/>
    <w:rPr>
      <w:vertAlign w:val="superscript"/>
    </w:rPr>
  </w:style>
  <w:style w:type="character" w:customStyle="1" w:styleId="46">
    <w:name w:val="WMO_BodyText Char Char"/>
    <w:basedOn w:val="36"/>
    <w:link w:val="5"/>
    <w:qFormat/>
    <w:uiPriority w:val="1"/>
    <w:rPr>
      <w:rFonts w:ascii="Verdana" w:hAnsi="Verdana" w:eastAsia="Verdana" w:cs="Verdana"/>
      <w:lang w:val="en-GB"/>
    </w:rPr>
  </w:style>
  <w:style w:type="character" w:customStyle="1" w:styleId="47">
    <w:name w:val="标题 1 字符"/>
    <w:basedOn w:val="36"/>
    <w:link w:val="3"/>
    <w:qFormat/>
    <w:uiPriority w:val="9"/>
    <w:rPr>
      <w:rFonts w:asciiTheme="majorHAnsi" w:hAnsiTheme="majorHAnsi" w:eastAsiaTheme="majorEastAsia" w:cstheme="majorBidi"/>
      <w:b/>
      <w:bCs/>
      <w:color w:val="345B8A" w:themeColor="accent1" w:themeShade="B5"/>
      <w:sz w:val="32"/>
      <w:szCs w:val="32"/>
      <w:lang w:val="fr-FR"/>
    </w:rPr>
  </w:style>
  <w:style w:type="character" w:customStyle="1" w:styleId="48">
    <w:name w:val="标题 2 字符"/>
    <w:link w:val="4"/>
    <w:qFormat/>
    <w:locked/>
    <w:uiPriority w:val="9"/>
    <w:rPr>
      <w:rFonts w:ascii="Verdana" w:hAnsi="Verdana" w:eastAsia="Verdana" w:cs="Verdana"/>
      <w:b/>
      <w:bCs/>
      <w:iCs/>
      <w:sz w:val="22"/>
      <w:szCs w:val="22"/>
      <w:lang w:val="en-GB"/>
    </w:rPr>
  </w:style>
  <w:style w:type="character" w:customStyle="1" w:styleId="49">
    <w:name w:val="标题 3 字符"/>
    <w:basedOn w:val="36"/>
    <w:link w:val="6"/>
    <w:qFormat/>
    <w:uiPriority w:val="9"/>
    <w:rPr>
      <w:rFonts w:ascii="Verdana" w:hAnsi="Verdana" w:eastAsia="Verdana" w:cs="Verdana"/>
      <w:b/>
      <w:bCs/>
      <w:lang w:val="en-GB"/>
    </w:rPr>
  </w:style>
  <w:style w:type="character" w:customStyle="1" w:styleId="50">
    <w:name w:val="标题 4 字符"/>
    <w:basedOn w:val="36"/>
    <w:link w:val="7"/>
    <w:qFormat/>
    <w:uiPriority w:val="9"/>
    <w:rPr>
      <w:rFonts w:ascii="Verdana" w:hAnsi="Verdana" w:eastAsia="Verdana" w:cs="Verdana"/>
      <w:b/>
      <w:i/>
      <w:lang w:val="en-GB"/>
    </w:rPr>
  </w:style>
  <w:style w:type="character" w:customStyle="1" w:styleId="51">
    <w:name w:val="标题 5 字符"/>
    <w:basedOn w:val="36"/>
    <w:link w:val="8"/>
    <w:qFormat/>
    <w:uiPriority w:val="9"/>
    <w:rPr>
      <w:rFonts w:ascii="Verdana" w:hAnsi="Verdana" w:eastAsia="Arial" w:cs="Arial"/>
      <w:bCs/>
      <w:i/>
      <w:iCs/>
      <w:szCs w:val="22"/>
      <w:lang w:val="en-GB"/>
    </w:rPr>
  </w:style>
  <w:style w:type="character" w:customStyle="1" w:styleId="52">
    <w:name w:val="标题 6 字符"/>
    <w:basedOn w:val="36"/>
    <w:link w:val="9"/>
    <w:qFormat/>
    <w:uiPriority w:val="9"/>
    <w:rPr>
      <w:rFonts w:ascii="Verdana" w:hAnsi="Verdana" w:eastAsia="Arial" w:cs="Arial"/>
      <w:b/>
      <w:snapToGrid w:val="0"/>
      <w:spacing w:val="-2"/>
      <w:lang w:val="en-GB"/>
    </w:rPr>
  </w:style>
  <w:style w:type="character" w:customStyle="1" w:styleId="53">
    <w:name w:val="标题 7 字符"/>
    <w:basedOn w:val="36"/>
    <w:link w:val="10"/>
    <w:qFormat/>
    <w:uiPriority w:val="9"/>
    <w:rPr>
      <w:rFonts w:ascii="Verdana" w:hAnsi="Verdana" w:eastAsia="Arial" w:cs="Arial"/>
      <w:b/>
      <w:bCs/>
      <w:color w:val="4436AA"/>
      <w:spacing w:val="-2"/>
      <w:sz w:val="28"/>
      <w:szCs w:val="22"/>
      <w:lang w:val="en-GB"/>
    </w:rPr>
  </w:style>
  <w:style w:type="character" w:customStyle="1" w:styleId="54">
    <w:name w:val="标题 8 字符"/>
    <w:basedOn w:val="36"/>
    <w:link w:val="11"/>
    <w:qFormat/>
    <w:uiPriority w:val="9"/>
    <w:rPr>
      <w:rFonts w:eastAsia="Arial"/>
      <w:i/>
      <w:iCs/>
      <w:sz w:val="24"/>
      <w:szCs w:val="24"/>
      <w:lang w:val="en-GB" w:eastAsia="en-US"/>
    </w:rPr>
  </w:style>
  <w:style w:type="character" w:customStyle="1" w:styleId="55">
    <w:name w:val="标题 9 字符"/>
    <w:basedOn w:val="36"/>
    <w:link w:val="12"/>
    <w:qFormat/>
    <w:uiPriority w:val="9"/>
    <w:rPr>
      <w:rFonts w:ascii="Verdana" w:hAnsi="Verdana" w:eastAsia="Arial" w:cs="Arial"/>
      <w:szCs w:val="22"/>
      <w:lang w:val="en-GB" w:eastAsia="en-US"/>
    </w:rPr>
  </w:style>
  <w:style w:type="character" w:customStyle="1" w:styleId="56">
    <w:name w:val="页眉 字符"/>
    <w:basedOn w:val="36"/>
    <w:link w:val="23"/>
    <w:qFormat/>
    <w:uiPriority w:val="99"/>
    <w:rPr>
      <w:rFonts w:ascii="Verdana" w:hAnsi="Verdana" w:eastAsiaTheme="minorHAnsi" w:cstheme="majorBidi"/>
      <w:color w:val="000000" w:themeColor="text1"/>
      <w:lang w:val="fr-FR"/>
      <w14:textFill>
        <w14:solidFill>
          <w14:schemeClr w14:val="tx1"/>
        </w14:solidFill>
      </w14:textFill>
    </w:rPr>
  </w:style>
  <w:style w:type="paragraph" w:customStyle="1" w:styleId="57">
    <w:name w:val="***Cross_Title_12"/>
    <w:basedOn w:val="1"/>
    <w:qFormat/>
    <w:uiPriority w:val="1"/>
    <w:pPr>
      <w:jc w:val="center"/>
    </w:pPr>
    <w:rPr>
      <w:rFonts w:eastAsia="宋体"/>
      <w:b/>
      <w:bCs/>
      <w:caps/>
      <w:sz w:val="24"/>
      <w:szCs w:val="24"/>
      <w:lang w:val="fr-CH" w:eastAsia="zh-CN"/>
    </w:rPr>
  </w:style>
  <w:style w:type="paragraph" w:customStyle="1" w:styleId="58">
    <w:name w:val="Service 9"/>
    <w:qFormat/>
    <w:uiPriority w:val="1"/>
    <w:pPr>
      <w:jc w:val="center"/>
    </w:pPr>
    <w:rPr>
      <w:rFonts w:ascii="Arial" w:hAnsi="Arial" w:eastAsia="Times New Roman" w:cs="Times New Roman"/>
      <w:sz w:val="18"/>
      <w:lang w:val="en-GB" w:eastAsia="en-US" w:bidi="ar-SA"/>
    </w:rPr>
  </w:style>
  <w:style w:type="paragraph" w:customStyle="1" w:styleId="59">
    <w:name w:val="***Cross_Title_14"/>
    <w:basedOn w:val="1"/>
    <w:qFormat/>
    <w:uiPriority w:val="1"/>
    <w:pPr>
      <w:keepNext/>
      <w:tabs>
        <w:tab w:val="left" w:pos="1140"/>
      </w:tabs>
      <w:spacing w:after="100"/>
      <w:jc w:val="center"/>
    </w:pPr>
    <w:rPr>
      <w:rFonts w:eastAsia="宋体"/>
      <w:b/>
      <w:caps/>
      <w:sz w:val="28"/>
      <w:szCs w:val="28"/>
      <w:lang w:val="fr-CH" w:eastAsia="zh-CN"/>
    </w:rPr>
  </w:style>
  <w:style w:type="character" w:customStyle="1" w:styleId="60">
    <w:name w:val="页脚 字符"/>
    <w:basedOn w:val="36"/>
    <w:link w:val="22"/>
    <w:qFormat/>
    <w:uiPriority w:val="99"/>
    <w:rPr>
      <w:rFonts w:ascii="Verdana" w:hAnsi="Verdana" w:eastAsiaTheme="minorHAnsi" w:cstheme="majorBidi"/>
      <w:color w:val="000000" w:themeColor="text1"/>
      <w:lang w:val="fr-FR"/>
      <w14:textFill>
        <w14:solidFill>
          <w14:schemeClr w14:val="tx1"/>
        </w14:solidFill>
      </w14:textFill>
    </w:rPr>
  </w:style>
  <w:style w:type="character" w:customStyle="1" w:styleId="61">
    <w:name w:val="批注框文本 字符"/>
    <w:basedOn w:val="36"/>
    <w:link w:val="21"/>
    <w:semiHidden/>
    <w:qFormat/>
    <w:uiPriority w:val="99"/>
    <w:rPr>
      <w:rFonts w:ascii="Lucida Grande" w:hAnsi="Lucida Grande" w:cs="Lucida Grande" w:eastAsiaTheme="minorHAnsi"/>
      <w:color w:val="000000" w:themeColor="text1"/>
      <w:sz w:val="18"/>
      <w:szCs w:val="18"/>
      <w:lang w:val="fr-FR"/>
      <w14:textFill>
        <w14:solidFill>
          <w14:schemeClr w14:val="tx1"/>
        </w14:solidFill>
      </w14:textFill>
    </w:rPr>
  </w:style>
  <w:style w:type="character" w:customStyle="1" w:styleId="62">
    <w:name w:val="文档结构图 字符"/>
    <w:basedOn w:val="36"/>
    <w:link w:val="14"/>
    <w:semiHidden/>
    <w:qFormat/>
    <w:uiPriority w:val="99"/>
    <w:rPr>
      <w:rFonts w:ascii="Lucida Grande" w:hAnsi="Lucida Grande" w:cs="Lucida Grande" w:eastAsiaTheme="minorHAnsi"/>
      <w:color w:val="000000" w:themeColor="text1"/>
      <w:sz w:val="24"/>
      <w:szCs w:val="24"/>
      <w:lang w:val="fr-FR"/>
      <w14:textFill>
        <w14:solidFill>
          <w14:schemeClr w14:val="tx1"/>
        </w14:solidFill>
      </w14:textFill>
    </w:rPr>
  </w:style>
  <w:style w:type="paragraph" w:customStyle="1" w:styleId="63">
    <w:name w:val="WMO_SubTitle1"/>
    <w:basedOn w:val="7"/>
    <w:next w:val="5"/>
    <w:qFormat/>
    <w:uiPriority w:val="1"/>
    <w:pPr>
      <w:spacing w:before="280"/>
      <w:ind w:left="0" w:firstLine="0"/>
    </w:pPr>
  </w:style>
  <w:style w:type="paragraph" w:customStyle="1" w:styleId="64">
    <w:name w:val="Comment"/>
    <w:basedOn w:val="1"/>
    <w:next w:val="5"/>
    <w:link w:val="65"/>
    <w:qFormat/>
    <w:uiPriority w:val="1"/>
    <w:pPr>
      <w:spacing w:before="240"/>
    </w:pPr>
    <w:rPr>
      <w:i/>
      <w:szCs w:val="22"/>
    </w:rPr>
  </w:style>
  <w:style w:type="character" w:customStyle="1" w:styleId="65">
    <w:name w:val="Comment Char"/>
    <w:basedOn w:val="36"/>
    <w:link w:val="64"/>
    <w:qFormat/>
    <w:uiPriority w:val="0"/>
    <w:rPr>
      <w:rFonts w:ascii="Verdana" w:hAnsi="Verdana" w:eastAsia="Arial" w:cs="Arial"/>
      <w:i/>
      <w:sz w:val="22"/>
      <w:szCs w:val="22"/>
      <w:lang w:val="en-GB" w:eastAsia="en-US"/>
    </w:rPr>
  </w:style>
  <w:style w:type="paragraph" w:customStyle="1" w:styleId="66">
    <w:name w:val="Char Char Char Char"/>
    <w:basedOn w:val="1"/>
    <w:qFormat/>
    <w:uiPriority w:val="1"/>
    <w:rPr>
      <w:rFonts w:ascii="Times New Roman" w:hAnsi="Times New Roman"/>
      <w:sz w:val="24"/>
      <w:szCs w:val="24"/>
      <w:lang w:val="pl-PL" w:eastAsia="pl-PL"/>
    </w:rPr>
  </w:style>
  <w:style w:type="paragraph" w:customStyle="1" w:styleId="67">
    <w:name w:val="Знак Знак Char Char"/>
    <w:basedOn w:val="1"/>
    <w:qFormat/>
    <w:uiPriority w:val="1"/>
    <w:rPr>
      <w:rFonts w:ascii="Times New Roman" w:hAnsi="Times New Roman"/>
      <w:sz w:val="24"/>
      <w:szCs w:val="24"/>
      <w:lang w:val="pl-PL" w:eastAsia="pl-PL"/>
    </w:rPr>
  </w:style>
  <w:style w:type="paragraph" w:customStyle="1" w:styleId="68">
    <w:name w:val="BodyText"/>
    <w:basedOn w:val="1"/>
    <w:link w:val="69"/>
    <w:qFormat/>
    <w:uiPriority w:val="1"/>
    <w:pPr>
      <w:tabs>
        <w:tab w:val="left" w:pos="1080"/>
      </w:tabs>
      <w:spacing w:before="240"/>
    </w:pPr>
    <w:rPr>
      <w:szCs w:val="22"/>
    </w:rPr>
  </w:style>
  <w:style w:type="character" w:customStyle="1" w:styleId="69">
    <w:name w:val="BodyText Char"/>
    <w:basedOn w:val="36"/>
    <w:link w:val="68"/>
    <w:qFormat/>
    <w:uiPriority w:val="0"/>
    <w:rPr>
      <w:rFonts w:ascii="Arial" w:hAnsi="Arial" w:eastAsia="Arial" w:cs="Arial"/>
      <w:sz w:val="22"/>
      <w:szCs w:val="22"/>
      <w:lang w:val="en-GB" w:eastAsia="en-US" w:bidi="ar-SA"/>
    </w:rPr>
  </w:style>
  <w:style w:type="paragraph" w:customStyle="1" w:styleId="70">
    <w:name w:val="WMO_SubTitle2"/>
    <w:basedOn w:val="8"/>
    <w:next w:val="5"/>
    <w:qFormat/>
    <w:uiPriority w:val="1"/>
    <w:pPr>
      <w:keepNext/>
      <w:keepLines/>
      <w:tabs>
        <w:tab w:val="clear" w:pos="1080"/>
      </w:tabs>
      <w:spacing w:before="280"/>
      <w:ind w:left="0" w:firstLine="0"/>
    </w:pPr>
    <w:rPr>
      <w:rFonts w:eastAsia="Verdana" w:cs="Verdana"/>
      <w:szCs w:val="20"/>
    </w:rPr>
  </w:style>
  <w:style w:type="character" w:customStyle="1" w:styleId="71">
    <w:name w:val="正文文本 字符"/>
    <w:basedOn w:val="36"/>
    <w:link w:val="16"/>
    <w:qFormat/>
    <w:uiPriority w:val="1"/>
    <w:rPr>
      <w:rFonts w:ascii="Verdana" w:hAnsi="Verdana" w:eastAsia="宋体" w:cs="Arial"/>
      <w:b/>
      <w:bCs/>
      <w:sz w:val="24"/>
      <w:szCs w:val="24"/>
      <w:lang w:val="en-GB" w:eastAsia="zh-CN"/>
    </w:rPr>
  </w:style>
  <w:style w:type="paragraph" w:customStyle="1" w:styleId="72">
    <w:name w:val="EC_BodyText-Centred"/>
    <w:basedOn w:val="5"/>
    <w:next w:val="5"/>
    <w:qFormat/>
    <w:uiPriority w:val="1"/>
    <w:pPr>
      <w:jc w:val="center"/>
    </w:pPr>
  </w:style>
  <w:style w:type="character" w:customStyle="1" w:styleId="73">
    <w:name w:val="脚注文本 字符"/>
    <w:basedOn w:val="36"/>
    <w:link w:val="28"/>
    <w:qFormat/>
    <w:uiPriority w:val="99"/>
    <w:rPr>
      <w:rFonts w:ascii="Verdana" w:hAnsi="Verdana" w:eastAsiaTheme="minorHAnsi" w:cstheme="majorBidi"/>
      <w:color w:val="000000" w:themeColor="text1"/>
      <w:sz w:val="16"/>
      <w:lang w:val="fr-FR"/>
      <w14:textFill>
        <w14:solidFill>
          <w14:schemeClr w14:val="tx1"/>
        </w14:solidFill>
      </w14:textFill>
    </w:rPr>
  </w:style>
  <w:style w:type="character" w:customStyle="1" w:styleId="74">
    <w:name w:val="批注文字 字符"/>
    <w:basedOn w:val="36"/>
    <w:link w:val="15"/>
    <w:semiHidden/>
    <w:qFormat/>
    <w:uiPriority w:val="99"/>
    <w:rPr>
      <w:rFonts w:ascii="Verdana" w:hAnsi="Verdana" w:eastAsia="Arial" w:cs="Arial"/>
      <w:lang w:val="en-GB" w:eastAsia="en-US"/>
    </w:rPr>
  </w:style>
  <w:style w:type="character" w:customStyle="1" w:styleId="75">
    <w:name w:val="批注主题 字符"/>
    <w:basedOn w:val="74"/>
    <w:link w:val="32"/>
    <w:semiHidden/>
    <w:qFormat/>
    <w:uiPriority w:val="99"/>
    <w:rPr>
      <w:rFonts w:ascii="Verdana" w:hAnsi="Verdana" w:eastAsia="Arial" w:cs="Arial"/>
      <w:b/>
      <w:bCs/>
      <w:lang w:val="en-GB" w:eastAsia="en-US"/>
    </w:rPr>
  </w:style>
  <w:style w:type="paragraph" w:customStyle="1" w:styleId="76">
    <w:name w:val="EC_Box"/>
    <w:basedOn w:val="5"/>
    <w:next w:val="5"/>
    <w:qFormat/>
    <w:uiPriority w:val="1"/>
    <w:pPr>
      <w:pBdr>
        <w:top w:val="single" w:color="auto" w:sz="4" w:space="12"/>
        <w:left w:val="single" w:color="auto" w:sz="4" w:space="5"/>
        <w:bottom w:val="single" w:color="auto" w:sz="4" w:space="12"/>
        <w:right w:val="single" w:color="auto" w:sz="4" w:space="5"/>
      </w:pBdr>
    </w:pPr>
  </w:style>
  <w:style w:type="paragraph" w:customStyle="1" w:styleId="77">
    <w:name w:val="Heading 2 - Centered"/>
    <w:basedOn w:val="4"/>
    <w:next w:val="1"/>
    <w:qFormat/>
    <w:uiPriority w:val="1"/>
  </w:style>
  <w:style w:type="character" w:customStyle="1" w:styleId="78">
    <w:name w:val="标题 字符"/>
    <w:basedOn w:val="36"/>
    <w:link w:val="31"/>
    <w:qFormat/>
    <w:uiPriority w:val="10"/>
    <w:rPr>
      <w:rFonts w:ascii="Verdana" w:hAnsi="Verdana" w:eastAsia="Arial" w:cs="Arial"/>
      <w:b/>
      <w:bCs/>
      <w:kern w:val="28"/>
      <w:sz w:val="32"/>
      <w:szCs w:val="32"/>
      <w:lang w:val="en-GB" w:eastAsia="en-US"/>
    </w:rPr>
  </w:style>
  <w:style w:type="paragraph" w:customStyle="1" w:styleId="79">
    <w:name w:val="EC_BodyText"/>
    <w:basedOn w:val="1"/>
    <w:link w:val="80"/>
    <w:qFormat/>
    <w:uiPriority w:val="1"/>
    <w:pPr>
      <w:tabs>
        <w:tab w:val="left" w:pos="1080"/>
      </w:tabs>
      <w:spacing w:before="240"/>
    </w:pPr>
    <w:rPr>
      <w:rFonts w:eastAsia="Times New Roman"/>
      <w:szCs w:val="22"/>
    </w:rPr>
  </w:style>
  <w:style w:type="character" w:customStyle="1" w:styleId="80">
    <w:name w:val="EC_BodyText Char"/>
    <w:basedOn w:val="36"/>
    <w:link w:val="79"/>
    <w:qFormat/>
    <w:uiPriority w:val="1"/>
    <w:rPr>
      <w:rFonts w:ascii="Arial" w:hAnsi="Arial" w:eastAsia="Times New Roman" w:cs="Arial"/>
      <w:sz w:val="22"/>
      <w:szCs w:val="22"/>
    </w:rPr>
  </w:style>
  <w:style w:type="paragraph" w:customStyle="1" w:styleId="81">
    <w:name w:val="Style Heading 1 + (Latin) Times New Roman"/>
    <w:basedOn w:val="3"/>
    <w:link w:val="82"/>
    <w:qFormat/>
    <w:uiPriority w:val="1"/>
  </w:style>
  <w:style w:type="character" w:customStyle="1" w:styleId="82">
    <w:name w:val="Style Heading 1 + (Latin) Times New Roman Char"/>
    <w:basedOn w:val="47"/>
    <w:link w:val="81"/>
    <w:qFormat/>
    <w:uiPriority w:val="0"/>
    <w:rPr>
      <w:rFonts w:ascii="Arial" w:hAnsi="Arial" w:eastAsia="Arial" w:cs="Arial"/>
      <w:color w:val="345B8A" w:themeColor="accent1" w:themeShade="B5"/>
      <w:kern w:val="32"/>
      <w:sz w:val="28"/>
      <w:szCs w:val="32"/>
      <w:lang w:val="en-GB" w:eastAsia="en-US" w:bidi="ar-SA"/>
    </w:rPr>
  </w:style>
  <w:style w:type="paragraph" w:customStyle="1" w:styleId="83">
    <w:name w:val="Style Heading 1 + (Latin) Times New Roman1"/>
    <w:basedOn w:val="3"/>
    <w:link w:val="84"/>
    <w:qFormat/>
    <w:uiPriority w:val="1"/>
    <w:rPr>
      <w:rFonts w:cs="Arial Bold"/>
    </w:rPr>
  </w:style>
  <w:style w:type="character" w:customStyle="1" w:styleId="84">
    <w:name w:val="Style Heading 1 + (Latin) Times New Roman1 Char"/>
    <w:basedOn w:val="47"/>
    <w:link w:val="83"/>
    <w:qFormat/>
    <w:uiPriority w:val="0"/>
    <w:rPr>
      <w:rFonts w:ascii="Arial" w:hAnsi="Arial" w:eastAsia="Arial" w:cs="Arial Bold"/>
      <w:color w:val="345B8A" w:themeColor="accent1" w:themeShade="B5"/>
      <w:kern w:val="32"/>
      <w:sz w:val="28"/>
      <w:szCs w:val="32"/>
      <w:lang w:val="en-GB" w:eastAsia="en-US" w:bidi="ar-SA"/>
    </w:rPr>
  </w:style>
  <w:style w:type="paragraph" w:customStyle="1" w:styleId="85">
    <w:name w:val="Heading 2 + Centered"/>
    <w:basedOn w:val="4"/>
    <w:link w:val="86"/>
    <w:qFormat/>
    <w:uiPriority w:val="1"/>
  </w:style>
  <w:style w:type="character" w:customStyle="1" w:styleId="86">
    <w:name w:val="Heading 2 + Centered Char"/>
    <w:basedOn w:val="48"/>
    <w:link w:val="85"/>
    <w:qFormat/>
    <w:uiPriority w:val="0"/>
    <w:rPr>
      <w:rFonts w:ascii="Arial" w:hAnsi="Arial" w:eastAsia="Arial" w:cs="Arial"/>
      <w:sz w:val="22"/>
      <w:szCs w:val="22"/>
      <w:lang w:val="en-GB"/>
    </w:rPr>
  </w:style>
  <w:style w:type="paragraph" w:customStyle="1" w:styleId="87">
    <w:name w:val="WMO_TOC2"/>
    <w:basedOn w:val="29"/>
    <w:next w:val="1"/>
    <w:qFormat/>
    <w:uiPriority w:val="1"/>
    <w:pPr>
      <w:tabs>
        <w:tab w:val="left" w:pos="851"/>
        <w:tab w:val="right" w:leader="dot" w:pos="9639"/>
      </w:tabs>
      <w:spacing w:before="360" w:after="120"/>
      <w:ind w:left="851" w:right="567" w:hanging="851"/>
    </w:pPr>
    <w:rPr>
      <w:rFonts w:eastAsia="MS Mincho"/>
      <w:b/>
      <w:smallCaps/>
      <w:szCs w:val="22"/>
    </w:rPr>
  </w:style>
  <w:style w:type="paragraph" w:customStyle="1" w:styleId="88">
    <w:name w:val="WMO_TOC1"/>
    <w:basedOn w:val="25"/>
    <w:next w:val="87"/>
    <w:qFormat/>
    <w:uiPriority w:val="1"/>
    <w:pPr>
      <w:spacing w:before="120" w:after="120"/>
    </w:pPr>
    <w:rPr>
      <w:rFonts w:eastAsia="MS Mincho"/>
      <w:b/>
      <w:smallCaps/>
      <w:szCs w:val="22"/>
    </w:rPr>
  </w:style>
  <w:style w:type="paragraph" w:customStyle="1" w:styleId="89">
    <w:name w:val="WMO_TOC3"/>
    <w:basedOn w:val="18"/>
    <w:qFormat/>
    <w:uiPriority w:val="1"/>
    <w:pPr>
      <w:tabs>
        <w:tab w:val="left" w:pos="851"/>
        <w:tab w:val="left" w:pos="1100"/>
        <w:tab w:val="right" w:leader="dot" w:pos="9639"/>
      </w:tabs>
      <w:spacing w:before="240" w:after="120"/>
      <w:ind w:left="851" w:right="567" w:hanging="851"/>
    </w:pPr>
    <w:rPr>
      <w:rFonts w:eastAsia="MS Mincho"/>
      <w:iCs/>
      <w:szCs w:val="22"/>
    </w:rPr>
  </w:style>
  <w:style w:type="character" w:styleId="90">
    <w:name w:val="Placeholder Text"/>
    <w:basedOn w:val="36"/>
    <w:qFormat/>
    <w:uiPriority w:val="99"/>
    <w:rPr>
      <w:color w:val="808080"/>
    </w:rPr>
  </w:style>
  <w:style w:type="paragraph" w:customStyle="1" w:styleId="91">
    <w:name w:val="WMO_Indent1"/>
    <w:basedOn w:val="5"/>
    <w:qFormat/>
    <w:uiPriority w:val="1"/>
    <w:pPr>
      <w:tabs>
        <w:tab w:val="left" w:pos="567"/>
      </w:tabs>
      <w:ind w:left="567" w:hanging="567"/>
    </w:pPr>
    <w:rPr>
      <w:rFonts w:eastAsia="Times New Roman" w:cs="Times New Roman"/>
    </w:rPr>
  </w:style>
  <w:style w:type="paragraph" w:customStyle="1" w:styleId="92">
    <w:name w:val="WMO_Indent2"/>
    <w:basedOn w:val="91"/>
    <w:qFormat/>
    <w:uiPriority w:val="1"/>
    <w:pPr>
      <w:tabs>
        <w:tab w:val="left" w:pos="1134"/>
        <w:tab w:val="clear" w:pos="567"/>
      </w:tabs>
      <w:ind w:left="1134"/>
    </w:pPr>
  </w:style>
  <w:style w:type="paragraph" w:customStyle="1" w:styleId="93">
    <w:name w:val="WMO_Indent3"/>
    <w:basedOn w:val="92"/>
    <w:qFormat/>
    <w:uiPriority w:val="1"/>
    <w:pPr>
      <w:tabs>
        <w:tab w:val="left" w:pos="1701"/>
        <w:tab w:val="clear" w:pos="1134"/>
      </w:tabs>
      <w:ind w:left="1701"/>
    </w:pPr>
  </w:style>
  <w:style w:type="paragraph" w:customStyle="1" w:styleId="94">
    <w:name w:val="WMO_Note"/>
    <w:basedOn w:val="5"/>
    <w:qFormat/>
    <w:uiPriority w:val="1"/>
    <w:pPr>
      <w:tabs>
        <w:tab w:val="left" w:pos="1418"/>
      </w:tabs>
      <w:ind w:left="1418" w:hanging="1418"/>
    </w:pPr>
    <w:rPr>
      <w:bCs/>
      <w:sz w:val="18"/>
      <w:szCs w:val="18"/>
    </w:rPr>
  </w:style>
  <w:style w:type="paragraph" w:customStyle="1" w:styleId="95">
    <w:name w:val="WMO_Indent4"/>
    <w:basedOn w:val="93"/>
    <w:qFormat/>
    <w:uiPriority w:val="1"/>
    <w:pPr>
      <w:tabs>
        <w:tab w:val="left" w:pos="2268"/>
        <w:tab w:val="clear" w:pos="1701"/>
      </w:tabs>
      <w:ind w:left="2268"/>
    </w:pPr>
  </w:style>
  <w:style w:type="paragraph" w:customStyle="1" w:styleId="96">
    <w:name w:val="WMO_Comment"/>
    <w:basedOn w:val="5"/>
    <w:next w:val="5"/>
    <w:link w:val="97"/>
    <w:qFormat/>
    <w:uiPriority w:val="1"/>
    <w:rPr>
      <w:i/>
    </w:rPr>
  </w:style>
  <w:style w:type="character" w:customStyle="1" w:styleId="97">
    <w:name w:val="WMO_Comment Char"/>
    <w:basedOn w:val="46"/>
    <w:link w:val="96"/>
    <w:qFormat/>
    <w:uiPriority w:val="0"/>
    <w:rPr>
      <w:rFonts w:ascii="Verdana" w:hAnsi="Verdana" w:eastAsia="Verdana" w:cs="Verdana"/>
      <w:i/>
      <w:lang w:val="en-GB"/>
    </w:rPr>
  </w:style>
  <w:style w:type="character" w:customStyle="1" w:styleId="98">
    <w:name w:val="未处理的提及1"/>
    <w:basedOn w:val="36"/>
    <w:semiHidden/>
    <w:unhideWhenUsed/>
    <w:qFormat/>
    <w:uiPriority w:val="99"/>
    <w:rPr>
      <w:color w:val="605E5C"/>
      <w:shd w:val="clear" w:color="auto" w:fill="E1DFDD"/>
    </w:rPr>
  </w:style>
  <w:style w:type="character" w:customStyle="1" w:styleId="99">
    <w:name w:val="副标题 字符"/>
    <w:basedOn w:val="36"/>
    <w:link w:val="27"/>
    <w:qFormat/>
    <w:uiPriority w:val="11"/>
    <w:rPr>
      <w:rFonts w:asciiTheme="minorHAnsi" w:hAnsiTheme="minorHAnsi" w:eastAsiaTheme="majorEastAsia" w:cstheme="minorBidi"/>
      <w:i/>
      <w:iCs/>
      <w:color w:val="4F81BD" w:themeColor="accent1"/>
      <w:spacing w:val="15"/>
      <w:sz w:val="24"/>
      <w:szCs w:val="24"/>
      <w:lang w:eastAsia="en-US"/>
      <w14:textFill>
        <w14:solidFill>
          <w14:schemeClr w14:val="accent1"/>
        </w14:solidFill>
      </w14:textFill>
    </w:rPr>
  </w:style>
  <w:style w:type="paragraph" w:customStyle="1" w:styleId="100">
    <w:name w:val="Body text semibold"/>
    <w:basedOn w:val="1"/>
    <w:qFormat/>
    <w:uiPriority w:val="0"/>
    <w:pPr>
      <w:tabs>
        <w:tab w:val="left" w:pos="1120"/>
      </w:tabs>
      <w:spacing w:after="240"/>
    </w:pPr>
    <w:rPr>
      <w:b/>
      <w:color w:val="808080" w:themeColor="text1" w:themeTint="80"/>
      <w14:textFill>
        <w14:solidFill>
          <w14:schemeClr w14:val="tx1">
            <w14:lumMod w14:val="50000"/>
            <w14:lumOff w14:val="50000"/>
          </w14:schemeClr>
        </w14:solidFill>
      </w14:textFill>
    </w:rPr>
  </w:style>
  <w:style w:type="character" w:customStyle="1" w:styleId="101">
    <w:name w:val="Bold"/>
    <w:qFormat/>
    <w:uiPriority w:val="0"/>
    <w:rPr>
      <w:b/>
    </w:rPr>
  </w:style>
  <w:style w:type="character" w:customStyle="1" w:styleId="102">
    <w:name w:val="Bold italic"/>
    <w:qFormat/>
    <w:uiPriority w:val="0"/>
    <w:rPr>
      <w:b/>
      <w:i/>
    </w:rPr>
  </w:style>
  <w:style w:type="paragraph" w:customStyle="1" w:styleId="103">
    <w:name w:val="Box heading"/>
    <w:basedOn w:val="1"/>
    <w:qFormat/>
    <w:uiPriority w:val="0"/>
    <w:pPr>
      <w:keepNext/>
      <w:spacing w:line="220" w:lineRule="exact"/>
      <w:jc w:val="center"/>
    </w:pPr>
    <w:rPr>
      <w:b/>
      <w:sz w:val="19"/>
    </w:rPr>
  </w:style>
  <w:style w:type="paragraph" w:customStyle="1" w:styleId="104">
    <w:name w:val="Box text"/>
    <w:basedOn w:val="1"/>
    <w:qFormat/>
    <w:uiPriority w:val="0"/>
    <w:pPr>
      <w:spacing w:before="110" w:line="220" w:lineRule="exact"/>
    </w:pPr>
    <w:rPr>
      <w:sz w:val="19"/>
    </w:rPr>
  </w:style>
  <w:style w:type="paragraph" w:customStyle="1" w:styleId="105">
    <w:name w:val="Box text indent"/>
    <w:basedOn w:val="104"/>
    <w:qFormat/>
    <w:uiPriority w:val="0"/>
    <w:pPr>
      <w:ind w:left="360" w:hanging="360"/>
    </w:pPr>
  </w:style>
  <w:style w:type="paragraph" w:customStyle="1" w:styleId="106">
    <w:name w:val="Chapter head"/>
    <w:qFormat/>
    <w:uiPriority w:val="0"/>
    <w:pPr>
      <w:keepNext/>
      <w:spacing w:after="560" w:line="280" w:lineRule="exact"/>
      <w:outlineLvl w:val="2"/>
    </w:pPr>
    <w:rPr>
      <w:rFonts w:ascii="Verdana" w:hAnsi="Verdana" w:eastAsia="Arial" w:cs="Arial"/>
      <w:b/>
      <w:caps/>
      <w:color w:val="000000" w:themeColor="text1"/>
      <w:sz w:val="24"/>
      <w:szCs w:val="22"/>
      <w:lang w:val="en-GB" w:eastAsia="en-US" w:bidi="ar-SA"/>
      <w14:textFill>
        <w14:solidFill>
          <w14:schemeClr w14:val="tx1"/>
        </w14:solidFill>
      </w14:textFill>
    </w:rPr>
  </w:style>
  <w:style w:type="paragraph" w:customStyle="1" w:styleId="107">
    <w:name w:val="Chapter head NOT running head"/>
    <w:qFormat/>
    <w:uiPriority w:val="0"/>
    <w:pPr>
      <w:keepNext/>
      <w:spacing w:after="560" w:line="280" w:lineRule="exact"/>
      <w:outlineLvl w:val="2"/>
    </w:pPr>
    <w:rPr>
      <w:rFonts w:ascii="Verdana" w:hAnsi="Verdana" w:eastAsiaTheme="minorHAnsi" w:cstheme="majorBidi"/>
      <w:b/>
      <w:caps/>
      <w:color w:val="000000" w:themeColor="text1"/>
      <w:sz w:val="24"/>
      <w:lang w:val="en-GB" w:eastAsia="zh-TW" w:bidi="ar-SA"/>
      <w14:textFill>
        <w14:solidFill>
          <w14:schemeClr w14:val="tx1"/>
        </w14:solidFill>
      </w14:textFill>
    </w:rPr>
  </w:style>
  <w:style w:type="paragraph" w:customStyle="1" w:styleId="108">
    <w:name w:val="COVER TITLE"/>
    <w:qFormat/>
    <w:uiPriority w:val="0"/>
    <w:pPr>
      <w:spacing w:before="120" w:after="120" w:line="276" w:lineRule="auto"/>
      <w:outlineLvl w:val="0"/>
    </w:pPr>
    <w:rPr>
      <w:rFonts w:ascii="Verdana" w:hAnsi="Verdana" w:eastAsiaTheme="minorHAnsi" w:cstheme="majorBidi"/>
      <w:b/>
      <w:color w:val="000000" w:themeColor="text1"/>
      <w:sz w:val="36"/>
      <w:lang w:val="en-GB" w:eastAsia="zh-TW" w:bidi="ar-SA"/>
      <w14:textFill>
        <w14:solidFill>
          <w14:schemeClr w14:val="tx1"/>
        </w14:solidFill>
      </w14:textFill>
    </w:rPr>
  </w:style>
  <w:style w:type="paragraph" w:customStyle="1" w:styleId="109">
    <w:name w:val="Definitions and others"/>
    <w:basedOn w:val="1"/>
    <w:qFormat/>
    <w:uiPriority w:val="0"/>
    <w:pPr>
      <w:tabs>
        <w:tab w:val="left" w:pos="480"/>
      </w:tabs>
      <w:spacing w:after="240" w:line="240" w:lineRule="exact"/>
      <w:ind w:left="482" w:hanging="482"/>
    </w:pPr>
  </w:style>
  <w:style w:type="paragraph" w:customStyle="1" w:styleId="110">
    <w:name w:val="Equation"/>
    <w:basedOn w:val="1"/>
    <w:qFormat/>
    <w:uiPriority w:val="0"/>
    <w:pPr>
      <w:tabs>
        <w:tab w:val="left" w:pos="4360"/>
        <w:tab w:val="right" w:pos="8720"/>
      </w:tabs>
    </w:pPr>
  </w:style>
  <w:style w:type="paragraph" w:customStyle="1" w:styleId="111">
    <w:name w:val="Figure caption"/>
    <w:basedOn w:val="1"/>
    <w:qFormat/>
    <w:uiPriority w:val="0"/>
    <w:pPr>
      <w:keepNext/>
      <w:spacing w:before="240" w:after="240" w:line="240" w:lineRule="exact"/>
      <w:jc w:val="center"/>
    </w:pPr>
    <w:rPr>
      <w:b/>
      <w:color w:val="808080" w:themeColor="text1" w:themeTint="80"/>
      <w14:textFill>
        <w14:solidFill>
          <w14:schemeClr w14:val="tx1">
            <w14:lumMod w14:val="50000"/>
            <w14:lumOff w14:val="50000"/>
          </w14:schemeClr>
        </w14:solidFill>
      </w14:textFill>
    </w:rPr>
  </w:style>
  <w:style w:type="paragraph" w:customStyle="1" w:styleId="112">
    <w:name w:val="Figure NOT tagged centre"/>
    <w:basedOn w:val="1"/>
    <w:qFormat/>
    <w:uiPriority w:val="0"/>
    <w:pPr>
      <w:jc w:val="center"/>
    </w:pPr>
  </w:style>
  <w:style w:type="paragraph" w:customStyle="1" w:styleId="113">
    <w:name w:val="Figure NOT tagged left"/>
    <w:basedOn w:val="1"/>
    <w:qFormat/>
    <w:uiPriority w:val="0"/>
  </w:style>
  <w:style w:type="paragraph" w:customStyle="1" w:styleId="114">
    <w:name w:val="Figure NOT tagged right"/>
    <w:basedOn w:val="1"/>
    <w:qFormat/>
    <w:uiPriority w:val="0"/>
    <w:pPr>
      <w:jc w:val="right"/>
    </w:pPr>
  </w:style>
  <w:style w:type="paragraph" w:customStyle="1" w:styleId="115">
    <w:name w:val="Heading_1"/>
    <w:qFormat/>
    <w:uiPriority w:val="0"/>
    <w:pPr>
      <w:keepNext/>
      <w:spacing w:before="480" w:after="200" w:line="276" w:lineRule="auto"/>
      <w:ind w:left="1123" w:hanging="1123"/>
      <w:outlineLvl w:val="3"/>
    </w:pPr>
    <w:rPr>
      <w:rFonts w:ascii="Verdana" w:hAnsi="Verdana" w:eastAsiaTheme="minorHAnsi" w:cstheme="majorBidi"/>
      <w:b/>
      <w:bCs/>
      <w:caps/>
      <w:color w:val="000000" w:themeColor="text1"/>
      <w:lang w:val="en-GB" w:eastAsia="zh-TW" w:bidi="ar-SA"/>
      <w14:textFill>
        <w14:solidFill>
          <w14:schemeClr w14:val="tx1"/>
        </w14:solidFill>
      </w14:textFill>
    </w:rPr>
  </w:style>
  <w:style w:type="paragraph" w:customStyle="1" w:styleId="116">
    <w:name w:val="Heading_1 NO ToC"/>
    <w:basedOn w:val="1"/>
    <w:qFormat/>
    <w:uiPriority w:val="0"/>
    <w:pPr>
      <w:keepNext/>
      <w:tabs>
        <w:tab w:val="left" w:pos="1120"/>
      </w:tabs>
      <w:spacing w:before="480" w:after="240" w:line="240" w:lineRule="exact"/>
      <w:ind w:left="1123" w:hanging="1123"/>
      <w:outlineLvl w:val="3"/>
    </w:pPr>
    <w:rPr>
      <w:b/>
      <w:caps/>
    </w:rPr>
  </w:style>
  <w:style w:type="paragraph" w:customStyle="1" w:styleId="117">
    <w:name w:val="Heading_2"/>
    <w:qFormat/>
    <w:uiPriority w:val="0"/>
    <w:pPr>
      <w:keepNext/>
      <w:tabs>
        <w:tab w:val="left" w:pos="1120"/>
      </w:tabs>
      <w:spacing w:before="240" w:after="240" w:line="240" w:lineRule="exact"/>
      <w:ind w:left="1123" w:hanging="1123"/>
      <w:outlineLvl w:val="4"/>
    </w:pPr>
    <w:rPr>
      <w:rFonts w:ascii="Verdana" w:hAnsi="Verdana" w:eastAsia="Arial" w:cs="Arial"/>
      <w:b/>
      <w:bCs/>
      <w:color w:val="000000" w:themeColor="text1"/>
      <w:lang w:val="en-GB" w:eastAsia="en-US" w:bidi="ar-SA"/>
      <w14:textFill>
        <w14:solidFill>
          <w14:schemeClr w14:val="tx1"/>
        </w14:solidFill>
      </w14:textFill>
    </w:rPr>
  </w:style>
  <w:style w:type="paragraph" w:customStyle="1" w:styleId="118">
    <w:name w:val="Heading_3"/>
    <w:basedOn w:val="2"/>
    <w:qFormat/>
    <w:uiPriority w:val="0"/>
    <w:pPr>
      <w:keepNext/>
      <w:spacing w:before="240"/>
      <w:ind w:left="1123" w:hanging="1123"/>
      <w:outlineLvl w:val="5"/>
    </w:pPr>
    <w:rPr>
      <w:b/>
      <w:i/>
    </w:rPr>
  </w:style>
  <w:style w:type="paragraph" w:customStyle="1" w:styleId="119">
    <w:name w:val="Heading_4"/>
    <w:basedOn w:val="1"/>
    <w:qFormat/>
    <w:uiPriority w:val="0"/>
    <w:pPr>
      <w:keepNext/>
      <w:tabs>
        <w:tab w:val="left" w:pos="1120"/>
      </w:tabs>
      <w:spacing w:before="240" w:after="240" w:line="240" w:lineRule="exact"/>
      <w:ind w:left="1123" w:hanging="1123"/>
      <w:outlineLvl w:val="6"/>
    </w:pPr>
    <w:rPr>
      <w:b/>
      <w:color w:val="808080" w:themeColor="text1" w:themeTint="80"/>
      <w14:textFill>
        <w14:solidFill>
          <w14:schemeClr w14:val="tx1">
            <w14:lumMod w14:val="50000"/>
            <w14:lumOff w14:val="50000"/>
          </w14:schemeClr>
        </w14:solidFill>
      </w14:textFill>
    </w:rPr>
  </w:style>
  <w:style w:type="paragraph" w:customStyle="1" w:styleId="120">
    <w:name w:val="Heading_5"/>
    <w:basedOn w:val="1"/>
    <w:qFormat/>
    <w:uiPriority w:val="0"/>
    <w:pPr>
      <w:keepNext/>
      <w:tabs>
        <w:tab w:val="left" w:pos="1120"/>
      </w:tabs>
      <w:spacing w:before="240" w:after="240" w:line="240" w:lineRule="exact"/>
      <w:ind w:left="1123" w:hanging="1123"/>
      <w:outlineLvl w:val="7"/>
    </w:pPr>
    <w:rPr>
      <w:b/>
      <w:i/>
      <w:color w:val="808080" w:themeColor="text1" w:themeTint="80"/>
      <w14:textFill>
        <w14:solidFill>
          <w14:schemeClr w14:val="tx1">
            <w14:lumMod w14:val="50000"/>
            <w14:lumOff w14:val="50000"/>
          </w14:schemeClr>
        </w14:solidFill>
      </w14:textFill>
    </w:rPr>
  </w:style>
  <w:style w:type="character" w:customStyle="1" w:styleId="121">
    <w:name w:val="Hyperlink italic"/>
    <w:basedOn w:val="43"/>
    <w:qFormat/>
    <w:uiPriority w:val="1"/>
    <w:rPr>
      <w:i/>
      <w:color w:val="0000FF" w:themeColor="hyperlink"/>
      <w:u w:val="none"/>
      <w14:textFill>
        <w14:solidFill>
          <w14:schemeClr w14:val="hlink"/>
        </w14:solidFill>
      </w14:textFill>
    </w:rPr>
  </w:style>
  <w:style w:type="paragraph" w:customStyle="1" w:styleId="122">
    <w:name w:val="Indent 1"/>
    <w:link w:val="123"/>
    <w:qFormat/>
    <w:uiPriority w:val="0"/>
    <w:pPr>
      <w:tabs>
        <w:tab w:val="left" w:pos="480"/>
      </w:tabs>
      <w:spacing w:after="240" w:line="240" w:lineRule="exact"/>
      <w:ind w:left="480" w:hanging="480"/>
    </w:pPr>
    <w:rPr>
      <w:rFonts w:ascii="Verdana" w:hAnsi="Verdana" w:eastAsia="Arial" w:cs="Arial"/>
      <w:color w:val="000000" w:themeColor="text1"/>
      <w:szCs w:val="22"/>
      <w:lang w:val="en-GB" w:eastAsia="en-US" w:bidi="ar-SA"/>
      <w14:textFill>
        <w14:solidFill>
          <w14:schemeClr w14:val="tx1"/>
        </w14:solidFill>
      </w14:textFill>
    </w:rPr>
  </w:style>
  <w:style w:type="character" w:customStyle="1" w:styleId="123">
    <w:name w:val="Indent 1 Char"/>
    <w:basedOn w:val="36"/>
    <w:link w:val="122"/>
    <w:qFormat/>
    <w:uiPriority w:val="0"/>
    <w:rPr>
      <w:rFonts w:ascii="Verdana" w:hAnsi="Verdana" w:eastAsia="Arial" w:cs="Arial"/>
      <w:color w:val="000000" w:themeColor="text1"/>
      <w:szCs w:val="22"/>
      <w:lang w:val="en-GB" w:eastAsia="en-US"/>
      <w14:textFill>
        <w14:solidFill>
          <w14:schemeClr w14:val="tx1"/>
        </w14:solidFill>
      </w14:textFill>
    </w:rPr>
  </w:style>
  <w:style w:type="paragraph" w:customStyle="1" w:styleId="124">
    <w:name w:val="Indent 1 NO space after"/>
    <w:basedOn w:val="122"/>
    <w:qFormat/>
    <w:uiPriority w:val="0"/>
    <w:pPr>
      <w:spacing w:after="0"/>
    </w:pPr>
  </w:style>
  <w:style w:type="paragraph" w:customStyle="1" w:styleId="125">
    <w:name w:val="Indent 1 semi bold"/>
    <w:basedOn w:val="122"/>
    <w:qFormat/>
    <w:uiPriority w:val="0"/>
    <w:rPr>
      <w:b/>
      <w:color w:val="808080" w:themeColor="text1" w:themeTint="80"/>
      <w14:textFill>
        <w14:solidFill>
          <w14:schemeClr w14:val="tx1">
            <w14:lumMod w14:val="50000"/>
            <w14:lumOff w14:val="50000"/>
          </w14:schemeClr>
        </w14:solidFill>
      </w14:textFill>
    </w:rPr>
  </w:style>
  <w:style w:type="paragraph" w:customStyle="1" w:styleId="126">
    <w:name w:val="Indent 1 semi bold NO space after"/>
    <w:basedOn w:val="1"/>
    <w:qFormat/>
    <w:uiPriority w:val="0"/>
    <w:pPr>
      <w:tabs>
        <w:tab w:val="left" w:pos="480"/>
      </w:tabs>
      <w:ind w:left="480" w:hanging="480"/>
    </w:pPr>
    <w:rPr>
      <w:b/>
      <w:color w:val="808080" w:themeColor="text1" w:themeTint="80"/>
      <w14:textFill>
        <w14:solidFill>
          <w14:schemeClr w14:val="tx1">
            <w14:lumMod w14:val="50000"/>
            <w14:lumOff w14:val="50000"/>
          </w14:schemeClr>
        </w14:solidFill>
      </w14:textFill>
    </w:rPr>
  </w:style>
  <w:style w:type="paragraph" w:customStyle="1" w:styleId="127">
    <w:name w:val="Indent 2"/>
    <w:qFormat/>
    <w:uiPriority w:val="0"/>
    <w:pPr>
      <w:tabs>
        <w:tab w:val="left" w:pos="960"/>
      </w:tabs>
      <w:spacing w:after="240" w:line="240" w:lineRule="exact"/>
      <w:ind w:left="960" w:hanging="480"/>
    </w:pPr>
    <w:rPr>
      <w:rFonts w:ascii="Verdana" w:hAnsi="Verdana" w:eastAsia="Arial" w:cs="Arial"/>
      <w:color w:val="000000" w:themeColor="text1"/>
      <w:szCs w:val="22"/>
      <w:lang w:val="en-GB" w:eastAsia="en-US" w:bidi="ar-SA"/>
      <w14:textFill>
        <w14:solidFill>
          <w14:schemeClr w14:val="tx1"/>
        </w14:solidFill>
      </w14:textFill>
    </w:rPr>
  </w:style>
  <w:style w:type="paragraph" w:customStyle="1" w:styleId="128">
    <w:name w:val="Indent 2 NO space after"/>
    <w:basedOn w:val="127"/>
    <w:qFormat/>
    <w:uiPriority w:val="0"/>
    <w:pPr>
      <w:spacing w:after="0"/>
    </w:pPr>
  </w:style>
  <w:style w:type="paragraph" w:customStyle="1" w:styleId="129">
    <w:name w:val="Indent 2 semi bold"/>
    <w:basedOn w:val="127"/>
    <w:qFormat/>
    <w:uiPriority w:val="0"/>
    <w:pPr>
      <w:tabs>
        <w:tab w:val="clear" w:pos="960"/>
      </w:tabs>
      <w:ind w:left="1082" w:hanging="600"/>
    </w:pPr>
    <w:rPr>
      <w:b/>
      <w:color w:val="808080" w:themeColor="text1" w:themeTint="80"/>
      <w14:textFill>
        <w14:solidFill>
          <w14:schemeClr w14:val="tx1">
            <w14:lumMod w14:val="50000"/>
            <w14:lumOff w14:val="50000"/>
          </w14:schemeClr>
        </w14:solidFill>
      </w14:textFill>
    </w:rPr>
  </w:style>
  <w:style w:type="paragraph" w:customStyle="1" w:styleId="130">
    <w:name w:val="Indent 2 semi bold NO space after"/>
    <w:basedOn w:val="1"/>
    <w:qFormat/>
    <w:uiPriority w:val="0"/>
    <w:pPr>
      <w:ind w:left="1080" w:hanging="600"/>
    </w:pPr>
    <w:rPr>
      <w:b/>
      <w:color w:val="808080" w:themeColor="text1" w:themeTint="80"/>
      <w14:textFill>
        <w14:solidFill>
          <w14:schemeClr w14:val="tx1">
            <w14:lumMod w14:val="50000"/>
            <w14:lumOff w14:val="50000"/>
          </w14:schemeClr>
        </w14:solidFill>
      </w14:textFill>
    </w:rPr>
  </w:style>
  <w:style w:type="paragraph" w:customStyle="1" w:styleId="131">
    <w:name w:val="Indent 3"/>
    <w:qFormat/>
    <w:uiPriority w:val="0"/>
    <w:pPr>
      <w:tabs>
        <w:tab w:val="left" w:pos="1440"/>
      </w:tabs>
      <w:spacing w:after="240" w:line="240" w:lineRule="exact"/>
      <w:ind w:left="1440" w:hanging="480"/>
    </w:pPr>
    <w:rPr>
      <w:rFonts w:ascii="Verdana" w:hAnsi="Verdana" w:eastAsiaTheme="minorHAnsi" w:cstheme="majorBidi"/>
      <w:color w:val="000000" w:themeColor="text1"/>
      <w:lang w:val="en-GB" w:eastAsia="zh-TW" w:bidi="ar-SA"/>
      <w14:textFill>
        <w14:solidFill>
          <w14:schemeClr w14:val="tx1"/>
        </w14:solidFill>
      </w14:textFill>
    </w:rPr>
  </w:style>
  <w:style w:type="paragraph" w:customStyle="1" w:styleId="132">
    <w:name w:val="Indent 3 NO space after"/>
    <w:basedOn w:val="131"/>
    <w:qFormat/>
    <w:uiPriority w:val="0"/>
    <w:pPr>
      <w:spacing w:after="0"/>
    </w:pPr>
  </w:style>
  <w:style w:type="paragraph" w:customStyle="1" w:styleId="133">
    <w:name w:val="Indent 3 semi bold"/>
    <w:basedOn w:val="131"/>
    <w:qFormat/>
    <w:uiPriority w:val="0"/>
    <w:rPr>
      <w:b/>
      <w:color w:val="808080" w:themeColor="text1" w:themeTint="80"/>
      <w14:textFill>
        <w14:solidFill>
          <w14:schemeClr w14:val="tx1">
            <w14:lumMod w14:val="50000"/>
            <w14:lumOff w14:val="50000"/>
          </w14:schemeClr>
        </w14:solidFill>
      </w14:textFill>
    </w:rPr>
  </w:style>
  <w:style w:type="paragraph" w:customStyle="1" w:styleId="134">
    <w:name w:val="Indent 3 semi bold NO space after"/>
    <w:basedOn w:val="1"/>
    <w:qFormat/>
    <w:uiPriority w:val="0"/>
    <w:pPr>
      <w:ind w:left="1440" w:hanging="480"/>
    </w:pPr>
    <w:rPr>
      <w:b/>
      <w:color w:val="808080" w:themeColor="text1" w:themeTint="80"/>
      <w14:textFill>
        <w14:solidFill>
          <w14:schemeClr w14:val="tx1">
            <w14:lumMod w14:val="50000"/>
            <w14:lumOff w14:val="50000"/>
          </w14:schemeClr>
        </w14:solidFill>
      </w14:textFill>
    </w:rPr>
  </w:style>
  <w:style w:type="paragraph" w:customStyle="1" w:styleId="135">
    <w:name w:val="Indent 4"/>
    <w:basedOn w:val="1"/>
    <w:qFormat/>
    <w:uiPriority w:val="0"/>
    <w:pPr>
      <w:tabs>
        <w:tab w:val="left" w:pos="1920"/>
      </w:tabs>
      <w:spacing w:after="240" w:line="240" w:lineRule="exact"/>
      <w:ind w:left="1920" w:hanging="480"/>
    </w:pPr>
  </w:style>
  <w:style w:type="paragraph" w:customStyle="1" w:styleId="136">
    <w:name w:val="Indent 4 NO space after"/>
    <w:basedOn w:val="1"/>
    <w:qFormat/>
    <w:uiPriority w:val="0"/>
    <w:pPr>
      <w:ind w:left="1920" w:hanging="480"/>
    </w:pPr>
  </w:style>
  <w:style w:type="paragraph" w:customStyle="1" w:styleId="137">
    <w:name w:val="Indent 4 semi bold"/>
    <w:basedOn w:val="1"/>
    <w:qFormat/>
    <w:uiPriority w:val="0"/>
    <w:pPr>
      <w:spacing w:after="240"/>
      <w:ind w:left="1920" w:hanging="480"/>
    </w:pPr>
    <w:rPr>
      <w:b/>
      <w:color w:val="808080" w:themeColor="text1" w:themeTint="80"/>
      <w14:textFill>
        <w14:solidFill>
          <w14:schemeClr w14:val="tx1">
            <w14:lumMod w14:val="50000"/>
            <w14:lumOff w14:val="50000"/>
          </w14:schemeClr>
        </w14:solidFill>
      </w14:textFill>
    </w:rPr>
  </w:style>
  <w:style w:type="paragraph" w:customStyle="1" w:styleId="138">
    <w:name w:val="Indent 4 semi bold NO space after"/>
    <w:basedOn w:val="1"/>
    <w:qFormat/>
    <w:uiPriority w:val="0"/>
    <w:pPr>
      <w:ind w:left="1920" w:hanging="480"/>
    </w:pPr>
    <w:rPr>
      <w:b/>
      <w:color w:val="808080" w:themeColor="text1" w:themeTint="80"/>
      <w14:textFill>
        <w14:solidFill>
          <w14:schemeClr w14:val="tx1">
            <w14:lumMod w14:val="50000"/>
            <w14:lumOff w14:val="50000"/>
          </w14:schemeClr>
        </w14:solidFill>
      </w14:textFill>
    </w:rPr>
  </w:style>
  <w:style w:type="character" w:customStyle="1" w:styleId="139">
    <w:name w:val="Italic"/>
    <w:basedOn w:val="36"/>
    <w:qFormat/>
    <w:uiPriority w:val="0"/>
    <w:rPr>
      <w:i/>
    </w:rPr>
  </w:style>
  <w:style w:type="character" w:customStyle="1" w:styleId="140">
    <w:name w:val="Medium"/>
    <w:qFormat/>
    <w:uiPriority w:val="0"/>
  </w:style>
  <w:style w:type="paragraph" w:customStyle="1" w:styleId="141">
    <w:name w:val="Note"/>
    <w:qFormat/>
    <w:uiPriority w:val="0"/>
    <w:pPr>
      <w:tabs>
        <w:tab w:val="left" w:pos="720"/>
      </w:tabs>
      <w:spacing w:after="240" w:line="200" w:lineRule="exact"/>
    </w:pPr>
    <w:rPr>
      <w:rFonts w:ascii="Verdana" w:hAnsi="Verdana" w:eastAsia="Arial" w:cs="Arial"/>
      <w:color w:val="000000" w:themeColor="text1"/>
      <w:sz w:val="16"/>
      <w:szCs w:val="22"/>
      <w:lang w:val="en-GB" w:eastAsia="en-US" w:bidi="ar-SA"/>
      <w14:textFill>
        <w14:solidFill>
          <w14:schemeClr w14:val="tx1"/>
        </w14:solidFill>
      </w14:textFill>
    </w:rPr>
  </w:style>
  <w:style w:type="paragraph" w:customStyle="1" w:styleId="142">
    <w:name w:val="Notes 1"/>
    <w:qFormat/>
    <w:uiPriority w:val="0"/>
    <w:pPr>
      <w:spacing w:after="240" w:line="200" w:lineRule="exact"/>
      <w:ind w:left="360" w:hanging="360"/>
    </w:pPr>
    <w:rPr>
      <w:rFonts w:ascii="Verdana" w:hAnsi="Verdana" w:eastAsia="Arial" w:cs="Arial"/>
      <w:color w:val="000000" w:themeColor="text1"/>
      <w:sz w:val="16"/>
      <w:szCs w:val="22"/>
      <w:lang w:val="en-GB" w:eastAsia="en-US" w:bidi="ar-SA"/>
      <w14:textFill>
        <w14:solidFill>
          <w14:schemeClr w14:val="tx1"/>
        </w14:solidFill>
      </w14:textFill>
    </w:rPr>
  </w:style>
  <w:style w:type="paragraph" w:customStyle="1" w:styleId="143">
    <w:name w:val="Notes 2"/>
    <w:qFormat/>
    <w:uiPriority w:val="0"/>
    <w:pPr>
      <w:spacing w:after="240" w:line="200" w:lineRule="exact"/>
      <w:ind w:left="720" w:hanging="360"/>
    </w:pPr>
    <w:rPr>
      <w:rFonts w:ascii="Verdana" w:hAnsi="Verdana" w:eastAsia="Arial" w:cs="Arial"/>
      <w:color w:val="000000" w:themeColor="text1"/>
      <w:sz w:val="16"/>
      <w:szCs w:val="22"/>
      <w:lang w:val="en-GB" w:eastAsia="en-US" w:bidi="ar-SA"/>
      <w14:textFill>
        <w14:solidFill>
          <w14:schemeClr w14:val="tx1"/>
        </w14:solidFill>
      </w14:textFill>
    </w:rPr>
  </w:style>
  <w:style w:type="paragraph" w:customStyle="1" w:styleId="144">
    <w:name w:val="Notes 3"/>
    <w:basedOn w:val="1"/>
    <w:qFormat/>
    <w:uiPriority w:val="0"/>
    <w:pPr>
      <w:spacing w:after="240"/>
      <w:ind w:left="1080" w:hanging="360"/>
    </w:pPr>
    <w:rPr>
      <w:sz w:val="16"/>
    </w:rPr>
  </w:style>
  <w:style w:type="paragraph" w:customStyle="1" w:styleId="145">
    <w:name w:val="Part title"/>
    <w:qFormat/>
    <w:uiPriority w:val="0"/>
    <w:pPr>
      <w:keepNext/>
      <w:spacing w:after="560" w:line="300" w:lineRule="exact"/>
      <w:outlineLvl w:val="1"/>
    </w:pPr>
    <w:rPr>
      <w:rFonts w:ascii="Verdana" w:hAnsi="Verdana" w:eastAsiaTheme="minorHAnsi" w:cstheme="majorBidi"/>
      <w:b/>
      <w:caps/>
      <w:color w:val="000000" w:themeColor="text1"/>
      <w:sz w:val="26"/>
      <w:lang w:val="en-GB" w:eastAsia="zh-TW" w:bidi="ar-SA"/>
      <w14:textFill>
        <w14:solidFill>
          <w14:schemeClr w14:val="tx1"/>
        </w14:solidFill>
      </w14:textFill>
    </w:rPr>
  </w:style>
  <w:style w:type="paragraph" w:customStyle="1" w:styleId="146">
    <w:name w:val="Quotes"/>
    <w:basedOn w:val="1"/>
    <w:qFormat/>
    <w:uiPriority w:val="0"/>
    <w:pPr>
      <w:tabs>
        <w:tab w:val="left" w:pos="1740"/>
      </w:tabs>
      <w:spacing w:after="240" w:line="240" w:lineRule="exact"/>
      <w:ind w:left="1123" w:right="1123"/>
    </w:pPr>
    <w:rPr>
      <w:sz w:val="18"/>
    </w:rPr>
  </w:style>
  <w:style w:type="paragraph" w:customStyle="1" w:styleId="147">
    <w:name w:val="Quotes tab"/>
    <w:basedOn w:val="146"/>
    <w:qFormat/>
    <w:uiPriority w:val="0"/>
    <w:pPr>
      <w:tabs>
        <w:tab w:val="left" w:pos="1500"/>
        <w:tab w:val="clear" w:pos="1740"/>
      </w:tabs>
      <w:spacing w:after="120"/>
      <w:ind w:left="1503" w:hanging="380"/>
    </w:pPr>
    <w:rPr>
      <w:rFonts w:eastAsia="Arial" w:cs="Arial"/>
      <w:szCs w:val="22"/>
      <w:lang w:eastAsia="en-US"/>
    </w:rPr>
  </w:style>
  <w:style w:type="paragraph" w:customStyle="1" w:styleId="148">
    <w:name w:val="Quotes tab space after"/>
    <w:basedOn w:val="147"/>
    <w:qFormat/>
    <w:uiPriority w:val="0"/>
    <w:pPr>
      <w:spacing w:after="240"/>
    </w:pPr>
  </w:style>
  <w:style w:type="paragraph" w:customStyle="1" w:styleId="149">
    <w:name w:val="References"/>
    <w:basedOn w:val="1"/>
    <w:qFormat/>
    <w:uiPriority w:val="0"/>
    <w:pPr>
      <w:spacing w:line="200" w:lineRule="exact"/>
      <w:ind w:left="960" w:hanging="960"/>
    </w:pPr>
    <w:rPr>
      <w:sz w:val="18"/>
    </w:rPr>
  </w:style>
  <w:style w:type="character" w:customStyle="1" w:styleId="150">
    <w:name w:val="Running_heads"/>
    <w:qFormat/>
    <w:uiPriority w:val="0"/>
  </w:style>
  <w:style w:type="character" w:customStyle="1" w:styleId="151">
    <w:name w:val="Semi bold"/>
    <w:basedOn w:val="36"/>
    <w:qFormat/>
    <w:uiPriority w:val="0"/>
    <w:rPr>
      <w:b/>
      <w:color w:val="808080" w:themeColor="text1" w:themeTint="80"/>
      <w14:textFill>
        <w14:solidFill>
          <w14:schemeClr w14:val="tx1">
            <w14:lumMod w14:val="50000"/>
            <w14:lumOff w14:val="50000"/>
          </w14:schemeClr>
        </w14:solidFill>
      </w14:textFill>
    </w:rPr>
  </w:style>
  <w:style w:type="character" w:customStyle="1" w:styleId="152">
    <w:name w:val="Semi bold italic"/>
    <w:qFormat/>
    <w:uiPriority w:val="0"/>
    <w:rPr>
      <w:b/>
      <w:i/>
      <w:color w:val="808080" w:themeColor="text1" w:themeTint="80"/>
      <w14:textFill>
        <w14:solidFill>
          <w14:schemeClr w14:val="tx1">
            <w14:lumMod w14:val="50000"/>
            <w14:lumOff w14:val="50000"/>
          </w14:schemeClr>
        </w14:solidFill>
      </w14:textFill>
    </w:rPr>
  </w:style>
  <w:style w:type="character" w:customStyle="1" w:styleId="153">
    <w:name w:val="Serif"/>
    <w:basedOn w:val="140"/>
    <w:qFormat/>
    <w:uiPriority w:val="0"/>
    <w:rPr>
      <w:rFonts w:ascii="Times New Roman" w:hAnsi="Times New Roman"/>
    </w:rPr>
  </w:style>
  <w:style w:type="character" w:customStyle="1" w:styleId="154">
    <w:name w:val="Serif italic"/>
    <w:qFormat/>
    <w:uiPriority w:val="0"/>
    <w:rPr>
      <w:rFonts w:ascii="Times New Roman" w:hAnsi="Times New Roman"/>
      <w:i/>
    </w:rPr>
  </w:style>
  <w:style w:type="character" w:customStyle="1" w:styleId="155">
    <w:name w:val="Serif italic subscript"/>
    <w:qFormat/>
    <w:uiPriority w:val="0"/>
    <w:rPr>
      <w:rFonts w:ascii="Times New Roman" w:hAnsi="Times New Roman"/>
      <w:i/>
      <w:vertAlign w:val="subscript"/>
    </w:rPr>
  </w:style>
  <w:style w:type="character" w:customStyle="1" w:styleId="156">
    <w:name w:val="Serif italic superscript"/>
    <w:qFormat/>
    <w:uiPriority w:val="0"/>
    <w:rPr>
      <w:rFonts w:ascii="Times New Roman" w:hAnsi="Times New Roman"/>
      <w:i/>
      <w:vertAlign w:val="superscript"/>
    </w:rPr>
  </w:style>
  <w:style w:type="character" w:customStyle="1" w:styleId="157">
    <w:name w:val="Subscript"/>
    <w:qFormat/>
    <w:uiPriority w:val="0"/>
    <w:rPr>
      <w:vertAlign w:val="subscript"/>
    </w:rPr>
  </w:style>
  <w:style w:type="character" w:customStyle="1" w:styleId="158">
    <w:name w:val="Serif subscript"/>
    <w:basedOn w:val="157"/>
    <w:qFormat/>
    <w:uiPriority w:val="0"/>
    <w:rPr>
      <w:rFonts w:ascii="Times New Roman" w:hAnsi="Times New Roman"/>
      <w:vertAlign w:val="subscript"/>
    </w:rPr>
  </w:style>
  <w:style w:type="character" w:customStyle="1" w:styleId="159">
    <w:name w:val="Serif superscript"/>
    <w:basedOn w:val="158"/>
    <w:qFormat/>
    <w:uiPriority w:val="0"/>
    <w:rPr>
      <w:rFonts w:ascii="Times New Roman" w:hAnsi="Times New Roman"/>
      <w:vertAlign w:val="superscript"/>
    </w:rPr>
  </w:style>
  <w:style w:type="character" w:customStyle="1" w:styleId="160">
    <w:name w:val="签名 字符"/>
    <w:basedOn w:val="36"/>
    <w:link w:val="24"/>
    <w:qFormat/>
    <w:uiPriority w:val="0"/>
    <w:rPr>
      <w:rFonts w:ascii="Verdana" w:hAnsi="Verdana" w:eastAsiaTheme="minorHAnsi" w:cstheme="majorBidi"/>
      <w:color w:val="000000" w:themeColor="text1"/>
      <w:lang w:val="fr-FR"/>
      <w14:textFill>
        <w14:solidFill>
          <w14:schemeClr w14:val="tx1"/>
        </w14:solidFill>
      </w14:textFill>
    </w:rPr>
  </w:style>
  <w:style w:type="paragraph" w:customStyle="1" w:styleId="161">
    <w:name w:val="Source"/>
    <w:basedOn w:val="1"/>
    <w:qFormat/>
    <w:uiPriority w:val="0"/>
    <w:pPr>
      <w:spacing w:after="240" w:line="200" w:lineRule="exact"/>
      <w:ind w:left="357"/>
    </w:pPr>
    <w:rPr>
      <w:sz w:val="16"/>
    </w:rPr>
  </w:style>
  <w:style w:type="character" w:customStyle="1" w:styleId="162">
    <w:name w:val="Space non-breaking"/>
    <w:qFormat/>
    <w:uiPriority w:val="0"/>
    <w:rPr>
      <w:bdr w:val="dashed" w:color="auto" w:sz="2" w:space="0"/>
    </w:rPr>
  </w:style>
  <w:style w:type="character" w:customStyle="1" w:styleId="163">
    <w:name w:val="Stix"/>
    <w:qFormat/>
    <w:uiPriority w:val="0"/>
    <w:rPr>
      <w:rFonts w:ascii="STIX" w:hAnsi="STIX"/>
    </w:rPr>
  </w:style>
  <w:style w:type="character" w:customStyle="1" w:styleId="164">
    <w:name w:val="Stix italic"/>
    <w:qFormat/>
    <w:uiPriority w:val="0"/>
    <w:rPr>
      <w:rFonts w:ascii="STIX" w:hAnsi="STIX"/>
      <w:i/>
    </w:rPr>
  </w:style>
  <w:style w:type="paragraph" w:customStyle="1" w:styleId="165">
    <w:name w:val="Subheading_1"/>
    <w:qFormat/>
    <w:uiPriority w:val="0"/>
    <w:pPr>
      <w:keepNext/>
      <w:tabs>
        <w:tab w:val="left" w:pos="1120"/>
      </w:tabs>
      <w:spacing w:before="240" w:after="240" w:line="240" w:lineRule="exact"/>
      <w:outlineLvl w:val="8"/>
    </w:pPr>
    <w:rPr>
      <w:rFonts w:ascii="Verdana" w:hAnsi="Verdana" w:eastAsia="Arial" w:cs="Arial"/>
      <w:b/>
      <w:color w:val="808080" w:themeColor="text1" w:themeTint="80"/>
      <w:szCs w:val="22"/>
      <w:lang w:val="en-GB" w:eastAsia="en-US" w:bidi="ar-SA"/>
      <w14:textFill>
        <w14:solidFill>
          <w14:schemeClr w14:val="tx1">
            <w14:lumMod w14:val="50000"/>
            <w14:lumOff w14:val="50000"/>
          </w14:schemeClr>
        </w14:solidFill>
      </w14:textFill>
    </w:rPr>
  </w:style>
  <w:style w:type="paragraph" w:customStyle="1" w:styleId="166">
    <w:name w:val="Subheading_2"/>
    <w:qFormat/>
    <w:uiPriority w:val="0"/>
    <w:pPr>
      <w:keepNext/>
      <w:tabs>
        <w:tab w:val="left" w:pos="1120"/>
      </w:tabs>
      <w:spacing w:before="240" w:after="240" w:line="240" w:lineRule="exact"/>
      <w:outlineLvl w:val="8"/>
    </w:pPr>
    <w:rPr>
      <w:rFonts w:ascii="Verdana" w:hAnsi="Verdana" w:eastAsia="Arial" w:cs="Arial"/>
      <w:b/>
      <w:i/>
      <w:color w:val="808080" w:themeColor="text1" w:themeTint="80"/>
      <w:szCs w:val="22"/>
      <w:lang w:val="en-GB" w:eastAsia="en-US" w:bidi="ar-SA"/>
      <w14:textFill>
        <w14:solidFill>
          <w14:schemeClr w14:val="tx1">
            <w14:lumMod w14:val="50000"/>
            <w14:lumOff w14:val="50000"/>
          </w14:schemeClr>
        </w14:solidFill>
      </w14:textFill>
    </w:rPr>
  </w:style>
  <w:style w:type="character" w:customStyle="1" w:styleId="167">
    <w:name w:val="Subscript italic"/>
    <w:qFormat/>
    <w:uiPriority w:val="0"/>
    <w:rPr>
      <w:i/>
      <w:vertAlign w:val="subscript"/>
    </w:rPr>
  </w:style>
  <w:style w:type="character" w:customStyle="1" w:styleId="168">
    <w:name w:val="Superscript"/>
    <w:basedOn w:val="36"/>
    <w:qFormat/>
    <w:uiPriority w:val="0"/>
    <w:rPr>
      <w:vertAlign w:val="superscript"/>
    </w:rPr>
  </w:style>
  <w:style w:type="character" w:customStyle="1" w:styleId="169">
    <w:name w:val="Superscript italic"/>
    <w:qFormat/>
    <w:uiPriority w:val="0"/>
    <w:rPr>
      <w:i/>
      <w:vertAlign w:val="superscript"/>
    </w:rPr>
  </w:style>
  <w:style w:type="paragraph" w:customStyle="1" w:styleId="170">
    <w:name w:val="Table as text"/>
    <w:qFormat/>
    <w:uiPriority w:val="0"/>
    <w:pPr>
      <w:spacing w:after="120"/>
    </w:pPr>
    <w:rPr>
      <w:rFonts w:ascii="Verdana" w:hAnsi="Verdana" w:eastAsiaTheme="minorHAnsi" w:cstheme="majorBidi"/>
      <w:color w:val="000000" w:themeColor="text1"/>
      <w:szCs w:val="22"/>
      <w:lang w:val="en-GB" w:eastAsia="zh-TW" w:bidi="ar-SA"/>
      <w14:textFill>
        <w14:solidFill>
          <w14:schemeClr w14:val="tx1"/>
        </w14:solidFill>
      </w14:textFill>
    </w:rPr>
  </w:style>
  <w:style w:type="paragraph" w:customStyle="1" w:styleId="171">
    <w:name w:val="Table body"/>
    <w:basedOn w:val="1"/>
    <w:link w:val="172"/>
    <w:qFormat/>
    <w:uiPriority w:val="0"/>
    <w:pPr>
      <w:spacing w:line="220" w:lineRule="exact"/>
    </w:pPr>
    <w:rPr>
      <w:spacing w:val="-4"/>
      <w:sz w:val="18"/>
    </w:rPr>
  </w:style>
  <w:style w:type="character" w:customStyle="1" w:styleId="172">
    <w:name w:val="Table body Char"/>
    <w:basedOn w:val="36"/>
    <w:link w:val="171"/>
    <w:qFormat/>
    <w:uiPriority w:val="0"/>
    <w:rPr>
      <w:rFonts w:ascii="Verdana" w:hAnsi="Verdana" w:eastAsiaTheme="minorHAnsi" w:cstheme="majorBidi"/>
      <w:color w:val="000000" w:themeColor="text1"/>
      <w:spacing w:val="-4"/>
      <w:sz w:val="18"/>
      <w:lang w:val="fr-FR"/>
      <w14:textFill>
        <w14:solidFill>
          <w14:schemeClr w14:val="tx1"/>
        </w14:solidFill>
      </w14:textFill>
    </w:rPr>
  </w:style>
  <w:style w:type="paragraph" w:customStyle="1" w:styleId="173">
    <w:name w:val="Table body centered"/>
    <w:basedOn w:val="1"/>
    <w:qFormat/>
    <w:uiPriority w:val="0"/>
    <w:pPr>
      <w:spacing w:line="220" w:lineRule="exact"/>
      <w:jc w:val="center"/>
    </w:pPr>
    <w:rPr>
      <w:sz w:val="18"/>
    </w:rPr>
  </w:style>
  <w:style w:type="paragraph" w:customStyle="1" w:styleId="174">
    <w:name w:val="Table body indent 1"/>
    <w:basedOn w:val="1"/>
    <w:qFormat/>
    <w:uiPriority w:val="0"/>
    <w:pPr>
      <w:tabs>
        <w:tab w:val="left" w:pos="360"/>
      </w:tabs>
      <w:spacing w:line="220" w:lineRule="exact"/>
      <w:ind w:left="357" w:hanging="357"/>
    </w:pPr>
    <w:rPr>
      <w:sz w:val="18"/>
    </w:rPr>
  </w:style>
  <w:style w:type="paragraph" w:customStyle="1" w:styleId="175">
    <w:name w:val="Table body indent 2"/>
    <w:basedOn w:val="1"/>
    <w:qFormat/>
    <w:uiPriority w:val="0"/>
    <w:pPr>
      <w:tabs>
        <w:tab w:val="left" w:pos="720"/>
      </w:tabs>
      <w:spacing w:line="220" w:lineRule="exact"/>
      <w:ind w:left="714" w:hanging="357"/>
    </w:pPr>
    <w:rPr>
      <w:sz w:val="18"/>
    </w:rPr>
  </w:style>
  <w:style w:type="paragraph" w:customStyle="1" w:styleId="176">
    <w:name w:val="Table caption"/>
    <w:basedOn w:val="1"/>
    <w:qFormat/>
    <w:uiPriority w:val="0"/>
    <w:pPr>
      <w:keepNext/>
      <w:spacing w:before="240" w:after="240" w:line="240" w:lineRule="exact"/>
      <w:jc w:val="center"/>
    </w:pPr>
    <w:rPr>
      <w:b/>
      <w:color w:val="808080" w:themeColor="text1" w:themeTint="80"/>
      <w14:textFill>
        <w14:solidFill>
          <w14:schemeClr w14:val="tx1">
            <w14:lumMod w14:val="50000"/>
            <w14:lumOff w14:val="50000"/>
          </w14:schemeClr>
        </w14:solidFill>
      </w14:textFill>
    </w:rPr>
  </w:style>
  <w:style w:type="paragraph" w:customStyle="1" w:styleId="177">
    <w:name w:val="Table header"/>
    <w:basedOn w:val="1"/>
    <w:link w:val="178"/>
    <w:qFormat/>
    <w:uiPriority w:val="0"/>
    <w:pPr>
      <w:spacing w:before="125" w:after="125" w:line="220" w:lineRule="exact"/>
      <w:jc w:val="center"/>
    </w:pPr>
    <w:rPr>
      <w:i/>
      <w:sz w:val="18"/>
      <w:lang w:eastAsia="en-US"/>
    </w:rPr>
  </w:style>
  <w:style w:type="character" w:customStyle="1" w:styleId="178">
    <w:name w:val="Table header Char"/>
    <w:basedOn w:val="36"/>
    <w:link w:val="177"/>
    <w:qFormat/>
    <w:uiPriority w:val="0"/>
    <w:rPr>
      <w:rFonts w:ascii="Verdana" w:hAnsi="Verdana" w:eastAsiaTheme="minorHAnsi" w:cstheme="majorBidi"/>
      <w:i/>
      <w:color w:val="000000" w:themeColor="text1"/>
      <w:sz w:val="18"/>
      <w:lang w:val="fr-FR" w:eastAsia="en-US"/>
      <w14:textFill>
        <w14:solidFill>
          <w14:schemeClr w14:val="tx1"/>
        </w14:solidFill>
      </w14:textFill>
    </w:rPr>
  </w:style>
  <w:style w:type="paragraph" w:customStyle="1" w:styleId="179">
    <w:name w:val="Table note"/>
    <w:basedOn w:val="1"/>
    <w:qFormat/>
    <w:uiPriority w:val="0"/>
    <w:pPr>
      <w:spacing w:line="200" w:lineRule="exact"/>
      <w:ind w:left="480" w:hanging="480"/>
    </w:pPr>
    <w:rPr>
      <w:sz w:val="16"/>
    </w:rPr>
  </w:style>
  <w:style w:type="paragraph" w:customStyle="1" w:styleId="180">
    <w:name w:val="Table notes"/>
    <w:basedOn w:val="1"/>
    <w:qFormat/>
    <w:uiPriority w:val="0"/>
    <w:pPr>
      <w:spacing w:line="200" w:lineRule="exact"/>
      <w:ind w:left="240" w:hanging="240"/>
    </w:pPr>
    <w:rPr>
      <w:sz w:val="16"/>
    </w:rPr>
  </w:style>
  <w:style w:type="paragraph" w:customStyle="1" w:styleId="181">
    <w:name w:val="THE END _____"/>
    <w:qFormat/>
    <w:uiPriority w:val="0"/>
    <w:pPr>
      <w:pBdr>
        <w:top w:val="single" w:color="auto" w:sz="2" w:space="1"/>
        <w:left w:val="single" w:color="auto" w:sz="2" w:space="4"/>
        <w:bottom w:val="single" w:color="auto" w:sz="2" w:space="1"/>
        <w:right w:val="single" w:color="auto" w:sz="2" w:space="4"/>
      </w:pBdr>
      <w:shd w:val="clear" w:color="auto" w:fill="7E7E7E" w:themeFill="text1" w:themeFillTint="80"/>
      <w:spacing w:before="480" w:after="120" w:line="14" w:lineRule="exact"/>
      <w:ind w:left="3997" w:right="3997"/>
      <w:jc w:val="center"/>
    </w:pPr>
    <w:rPr>
      <w:rFonts w:ascii="Verdana" w:hAnsi="Verdana" w:eastAsia="Times New Roman" w:cs="Times New Roman"/>
      <w:color w:val="000000" w:themeColor="text1"/>
      <w:szCs w:val="24"/>
      <w:lang w:val="en-GB" w:eastAsia="fr-CH" w:bidi="ar-SA"/>
      <w14:textFill>
        <w14:solidFill>
          <w14:schemeClr w14:val="tx1"/>
        </w14:solidFill>
      </w14:textFill>
    </w:rPr>
  </w:style>
  <w:style w:type="paragraph" w:customStyle="1" w:styleId="182">
    <w:name w:val="THE END _____ NO space before"/>
    <w:qFormat/>
    <w:uiPriority w:val="0"/>
    <w:pPr>
      <w:pBdr>
        <w:top w:val="single" w:color="auto" w:sz="2" w:space="1"/>
        <w:left w:val="single" w:color="auto" w:sz="2" w:space="4"/>
        <w:bottom w:val="single" w:color="auto" w:sz="2" w:space="1"/>
        <w:right w:val="single" w:color="auto" w:sz="2" w:space="4"/>
      </w:pBdr>
      <w:shd w:val="clear" w:color="auto" w:fill="000000" w:themeFill="text1"/>
      <w:spacing w:before="240" w:line="14" w:lineRule="exact"/>
      <w:ind w:left="3997" w:right="3997"/>
      <w:contextualSpacing/>
      <w:jc w:val="center"/>
    </w:pPr>
    <w:rPr>
      <w:rFonts w:ascii="Verdana" w:hAnsi="Verdana" w:eastAsiaTheme="minorHAnsi" w:cstheme="majorBidi"/>
      <w:color w:val="000000" w:themeColor="text1"/>
      <w:szCs w:val="24"/>
      <w:lang w:val="en-GB" w:eastAsia="en-US" w:bidi="ar-SA"/>
      <w14:textFill>
        <w14:solidFill>
          <w14:schemeClr w14:val="tx1"/>
        </w14:solidFill>
      </w14:textFill>
    </w:rPr>
  </w:style>
  <w:style w:type="paragraph" w:customStyle="1" w:styleId="183">
    <w:name w:val="TITLE PAGE"/>
    <w:basedOn w:val="1"/>
    <w:qFormat/>
    <w:uiPriority w:val="0"/>
    <w:pPr>
      <w:spacing w:before="120" w:after="120"/>
    </w:pPr>
    <w:rPr>
      <w:b/>
      <w:sz w:val="32"/>
    </w:rPr>
  </w:style>
  <w:style w:type="paragraph" w:customStyle="1" w:styleId="184">
    <w:name w:val="TOC 0 digit"/>
    <w:basedOn w:val="1"/>
    <w:qFormat/>
    <w:uiPriority w:val="1"/>
  </w:style>
  <w:style w:type="paragraph" w:customStyle="1" w:styleId="185">
    <w:name w:val="TOC 1 digit"/>
    <w:basedOn w:val="1"/>
    <w:qFormat/>
    <w:uiPriority w:val="1"/>
  </w:style>
  <w:style w:type="paragraph" w:customStyle="1" w:styleId="186">
    <w:name w:val="TOC 2 digit"/>
    <w:basedOn w:val="1"/>
    <w:qFormat/>
    <w:uiPriority w:val="1"/>
  </w:style>
  <w:style w:type="paragraph" w:customStyle="1" w:styleId="187">
    <w:name w:val="TOC 2 digits"/>
    <w:basedOn w:val="1"/>
    <w:qFormat/>
    <w:uiPriority w:val="1"/>
  </w:style>
  <w:style w:type="paragraph" w:customStyle="1" w:styleId="188">
    <w:name w:val="TOC 3 digits"/>
    <w:basedOn w:val="1"/>
    <w:qFormat/>
    <w:uiPriority w:val="1"/>
  </w:style>
  <w:style w:type="paragraph" w:customStyle="1" w:styleId="189">
    <w:name w:val="ZZZZZZZZZZZZZZZZZZZZZZZZZZ"/>
    <w:basedOn w:val="1"/>
    <w:qFormat/>
    <w:uiPriority w:val="0"/>
  </w:style>
  <w:style w:type="character" w:customStyle="1" w:styleId="190">
    <w:name w:val="Seric italic"/>
    <w:basedOn w:val="139"/>
    <w:qFormat/>
    <w:uiPriority w:val="1"/>
    <w:rPr>
      <w:rFonts w:ascii="Times New Roman" w:hAnsi="Times New Roman"/>
    </w:rPr>
  </w:style>
  <w:style w:type="character" w:customStyle="1" w:styleId="191">
    <w:name w:val="Serif subscript italic"/>
    <w:basedOn w:val="167"/>
    <w:qFormat/>
    <w:uiPriority w:val="1"/>
    <w:rPr>
      <w:rFonts w:ascii="Times New Roman" w:hAnsi="Times New Roman"/>
      <w:vertAlign w:val="subscript"/>
    </w:rPr>
  </w:style>
  <w:style w:type="character" w:customStyle="1" w:styleId="192">
    <w:name w:val="Serif superscipt italic"/>
    <w:basedOn w:val="159"/>
    <w:qFormat/>
    <w:uiPriority w:val="1"/>
    <w:rPr>
      <w:rFonts w:ascii="Times New Roman" w:hAnsi="Times New Roman"/>
      <w:i/>
      <w:vertAlign w:val="superscript"/>
    </w:rPr>
  </w:style>
  <w:style w:type="paragraph" w:customStyle="1" w:styleId="193">
    <w:name w:val="Note indent 2 Space after"/>
    <w:basedOn w:val="1"/>
    <w:qFormat/>
    <w:uiPriority w:val="1"/>
  </w:style>
  <w:style w:type="paragraph" w:customStyle="1" w:styleId="194">
    <w:name w:val="Body_text_semibold"/>
    <w:qFormat/>
    <w:uiPriority w:val="1"/>
    <w:pPr>
      <w:tabs>
        <w:tab w:val="left" w:pos="1120"/>
      </w:tabs>
      <w:spacing w:after="240" w:line="240" w:lineRule="exact"/>
    </w:pPr>
    <w:rPr>
      <w:rFonts w:ascii="Verdana" w:hAnsi="Verdana" w:eastAsiaTheme="minorHAnsi" w:cstheme="majorBidi"/>
      <w:b/>
      <w:color w:val="808080" w:themeColor="text1" w:themeTint="80"/>
      <w:szCs w:val="22"/>
      <w:lang w:val="en-GB" w:eastAsia="zh-TW" w:bidi="ar-SA"/>
      <w14:textFill>
        <w14:solidFill>
          <w14:schemeClr w14:val="tx1">
            <w14:lumMod w14:val="50000"/>
            <w14:lumOff w14:val="50000"/>
          </w14:schemeClr>
        </w14:solidFill>
      </w14:textFill>
    </w:rPr>
  </w:style>
  <w:style w:type="character" w:customStyle="1" w:styleId="195">
    <w:name w:val="Serif medium"/>
    <w:basedOn w:val="190"/>
    <w:qFormat/>
    <w:uiPriority w:val="1"/>
    <w:rPr>
      <w:rFonts w:ascii="Times New Roman" w:hAnsi="Times New Roman"/>
      <w:i w:val="0"/>
    </w:rPr>
  </w:style>
  <w:style w:type="character" w:customStyle="1" w:styleId="196">
    <w:name w:val="Superscript semi bold"/>
    <w:qFormat/>
    <w:uiPriority w:val="0"/>
    <w:rPr>
      <w:b/>
      <w:color w:val="808080" w:themeColor="text1" w:themeTint="80"/>
      <w:vertAlign w:val="superscript"/>
      <w14:textFill>
        <w14:solidFill>
          <w14:schemeClr w14:val="tx1">
            <w14:lumMod w14:val="50000"/>
            <w14:lumOff w14:val="50000"/>
          </w14:schemeClr>
        </w14:solidFill>
      </w14:textFill>
    </w:rPr>
  </w:style>
  <w:style w:type="character" w:customStyle="1" w:styleId="197">
    <w:name w:val="Subscript semi bold"/>
    <w:qFormat/>
    <w:uiPriority w:val="0"/>
    <w:rPr>
      <w:b/>
      <w:color w:val="7F7F7F" w:themeColor="background1" w:themeShade="80"/>
      <w:vertAlign w:val="subscript"/>
    </w:rPr>
  </w:style>
  <w:style w:type="paragraph" w:customStyle="1" w:styleId="198">
    <w:name w:val="Chapter head NO ToC"/>
    <w:basedOn w:val="106"/>
    <w:qFormat/>
    <w:uiPriority w:val="0"/>
  </w:style>
  <w:style w:type="paragraph" w:customStyle="1" w:styleId="199">
    <w:name w:val="COVER SUBTITLE"/>
    <w:basedOn w:val="1"/>
    <w:qFormat/>
    <w:uiPriority w:val="1"/>
    <w:pPr>
      <w:spacing w:after="240"/>
    </w:pPr>
    <w:rPr>
      <w:b/>
      <w:sz w:val="24"/>
    </w:rPr>
  </w:style>
  <w:style w:type="paragraph" w:customStyle="1" w:styleId="200">
    <w:name w:val="COVER subtitle"/>
    <w:basedOn w:val="1"/>
    <w:qFormat/>
    <w:uiPriority w:val="0"/>
    <w:pPr>
      <w:spacing w:before="120" w:after="120"/>
    </w:pPr>
    <w:rPr>
      <w:b/>
      <w:sz w:val="32"/>
    </w:rPr>
  </w:style>
  <w:style w:type="paragraph" w:customStyle="1" w:styleId="201">
    <w:name w:val="TITLE PAGE subtitle"/>
    <w:basedOn w:val="1"/>
    <w:qFormat/>
    <w:uiPriority w:val="0"/>
    <w:pPr>
      <w:spacing w:before="120" w:after="120"/>
    </w:pPr>
    <w:rPr>
      <w:b/>
      <w:sz w:val="28"/>
    </w:rPr>
  </w:style>
  <w:style w:type="paragraph" w:customStyle="1" w:styleId="202">
    <w:name w:val="TITLE PAGE sub-subtitle"/>
    <w:basedOn w:val="1"/>
    <w:qFormat/>
    <w:uiPriority w:val="0"/>
    <w:pPr>
      <w:spacing w:before="120" w:after="120"/>
    </w:pPr>
    <w:rPr>
      <w:b/>
      <w:sz w:val="24"/>
    </w:rPr>
  </w:style>
  <w:style w:type="paragraph" w:customStyle="1" w:styleId="203">
    <w:name w:val="COVER sub-subtitle"/>
    <w:basedOn w:val="1"/>
    <w:qFormat/>
    <w:uiPriority w:val="0"/>
    <w:pPr>
      <w:spacing w:before="120" w:after="120"/>
    </w:pPr>
    <w:rPr>
      <w:b/>
      <w:sz w:val="28"/>
    </w:rPr>
  </w:style>
  <w:style w:type="character" w:customStyle="1" w:styleId="204">
    <w:name w:val="Hyperlink Italic"/>
    <w:qFormat/>
    <w:uiPriority w:val="0"/>
    <w:rPr>
      <w:i/>
      <w:color w:val="0000FF"/>
    </w:rPr>
  </w:style>
  <w:style w:type="character" w:customStyle="1" w:styleId="205">
    <w:name w:val="Tiny"/>
    <w:qFormat/>
    <w:uiPriority w:val="0"/>
  </w:style>
  <w:style w:type="paragraph" w:customStyle="1" w:styleId="206">
    <w:name w:val="Notes heading"/>
    <w:next w:val="142"/>
    <w:qFormat/>
    <w:uiPriority w:val="0"/>
    <w:pPr>
      <w:keepNext/>
      <w:spacing w:line="276" w:lineRule="auto"/>
    </w:pPr>
    <w:rPr>
      <w:rFonts w:ascii="Verdana" w:hAnsi="Verdana" w:eastAsiaTheme="minorHAnsi" w:cstheme="majorBidi"/>
      <w:color w:val="000000" w:themeColor="text1"/>
      <w:sz w:val="16"/>
      <w:lang w:val="en-GB" w:eastAsia="zh-TW" w:bidi="ar-SA"/>
      <w14:textFill>
        <w14:solidFill>
          <w14:schemeClr w14:val="tx1"/>
        </w14:solidFill>
      </w14:textFill>
    </w:rPr>
  </w:style>
  <w:style w:type="character" w:customStyle="1" w:styleId="207">
    <w:name w:val="Serif italic semi bold"/>
    <w:qFormat/>
    <w:uiPriority w:val="0"/>
    <w:rPr>
      <w:rFonts w:ascii="Times New Roman" w:hAnsi="Times New Roman"/>
      <w:b/>
      <w:i/>
      <w:color w:val="808080" w:themeColor="text1" w:themeTint="80"/>
      <w:sz w:val="20"/>
      <w:szCs w:val="20"/>
      <w14:textFill>
        <w14:solidFill>
          <w14:schemeClr w14:val="tx1">
            <w14:lumMod w14:val="50000"/>
            <w14:lumOff w14:val="50000"/>
          </w14:schemeClr>
        </w14:solidFill>
      </w14:textFill>
    </w:rPr>
  </w:style>
  <w:style w:type="character" w:customStyle="1" w:styleId="208">
    <w:name w:val="Serif italic subscript semi bold"/>
    <w:qFormat/>
    <w:uiPriority w:val="0"/>
    <w:rPr>
      <w:rFonts w:ascii="Times New Roman" w:hAnsi="Times New Roman"/>
      <w:b/>
      <w:i/>
      <w:color w:val="808080" w:themeColor="text1" w:themeTint="80"/>
      <w:sz w:val="20"/>
      <w:szCs w:val="20"/>
      <w:vertAlign w:val="subscript"/>
      <w14:textFill>
        <w14:solidFill>
          <w14:schemeClr w14:val="tx1">
            <w14:lumMod w14:val="50000"/>
            <w14:lumOff w14:val="50000"/>
          </w14:schemeClr>
        </w14:solidFill>
      </w14:textFill>
    </w:rPr>
  </w:style>
  <w:style w:type="character" w:customStyle="1" w:styleId="209">
    <w:name w:val="Serif italic superscript semi bold"/>
    <w:qFormat/>
    <w:uiPriority w:val="0"/>
    <w:rPr>
      <w:rFonts w:ascii="Times New Roman" w:hAnsi="Times New Roman"/>
      <w:b/>
      <w:i/>
      <w:color w:val="808080" w:themeColor="text1" w:themeTint="80"/>
      <w:sz w:val="20"/>
      <w:szCs w:val="20"/>
      <w:vertAlign w:val="superscript"/>
      <w14:textFill>
        <w14:solidFill>
          <w14:schemeClr w14:val="tx1">
            <w14:lumMod w14:val="50000"/>
            <w14:lumOff w14:val="50000"/>
          </w14:schemeClr>
        </w14:solidFill>
      </w14:textFill>
    </w:rPr>
  </w:style>
  <w:style w:type="paragraph" w:customStyle="1" w:styleId="210">
    <w:name w:val="Heading_Codes_FM"/>
    <w:qFormat/>
    <w:uiPriority w:val="1"/>
    <w:pPr>
      <w:tabs>
        <w:tab w:val="left" w:pos="2040"/>
      </w:tabs>
      <w:ind w:left="3840" w:hanging="3840"/>
    </w:pPr>
    <w:rPr>
      <w:rFonts w:ascii="Verdana" w:hAnsi="Verdana" w:eastAsiaTheme="minorHAnsi" w:cstheme="majorBidi"/>
      <w:b/>
      <w:caps/>
      <w:color w:val="000000"/>
      <w:szCs w:val="28"/>
      <w:lang w:val="en-GB" w:eastAsia="zh-TW" w:bidi="ar-SA"/>
    </w:rPr>
  </w:style>
  <w:style w:type="paragraph" w:customStyle="1" w:styleId="211">
    <w:name w:val="Footnote"/>
    <w:basedOn w:val="1"/>
    <w:qFormat/>
    <w:uiPriority w:val="1"/>
    <w:rPr>
      <w:sz w:val="16"/>
    </w:rPr>
  </w:style>
  <w:style w:type="character" w:customStyle="1" w:styleId="212">
    <w:name w:val="Stix superscript"/>
    <w:qFormat/>
    <w:uiPriority w:val="0"/>
    <w:rPr>
      <w:rFonts w:ascii="STIX Math" w:hAnsi="STIX Math"/>
      <w:spacing w:val="0"/>
      <w:vertAlign w:val="superscript"/>
    </w:rPr>
  </w:style>
  <w:style w:type="character" w:customStyle="1" w:styleId="213">
    <w:name w:val="Stix subscript"/>
    <w:qFormat/>
    <w:uiPriority w:val="0"/>
    <w:rPr>
      <w:rFonts w:ascii="STIX Math" w:hAnsi="STIX Math"/>
      <w:spacing w:val="0"/>
      <w:vertAlign w:val="subscript"/>
    </w:rPr>
  </w:style>
  <w:style w:type="character" w:customStyle="1" w:styleId="214">
    <w:name w:val="Stix italic superscript"/>
    <w:qFormat/>
    <w:uiPriority w:val="0"/>
    <w:rPr>
      <w:rFonts w:ascii="STIX Math" w:hAnsi="STIX Math"/>
      <w:i/>
      <w:spacing w:val="0"/>
      <w:vertAlign w:val="superscript"/>
    </w:rPr>
  </w:style>
  <w:style w:type="character" w:customStyle="1" w:styleId="215">
    <w:name w:val="Stix italic subscript"/>
    <w:qFormat/>
    <w:uiPriority w:val="0"/>
    <w:rPr>
      <w:rFonts w:ascii="STIX Math" w:hAnsi="STIX Math"/>
      <w:i/>
      <w:spacing w:val="0"/>
      <w:vertAlign w:val="subscript"/>
    </w:rPr>
  </w:style>
  <w:style w:type="character" w:customStyle="1" w:styleId="216">
    <w:name w:val="Hairspace_no_break"/>
    <w:qFormat/>
    <w:uiPriority w:val="0"/>
    <w:rPr>
      <w:spacing w:val="0"/>
      <w:bdr w:val="dotted" w:color="auto" w:sz="2" w:space="0"/>
    </w:rPr>
  </w:style>
  <w:style w:type="paragraph" w:customStyle="1" w:styleId="217">
    <w:name w:val="Heading_2_NO_ToC"/>
    <w:basedOn w:val="1"/>
    <w:qFormat/>
    <w:uiPriority w:val="0"/>
    <w:pPr>
      <w:keepNext/>
      <w:spacing w:before="240" w:after="240" w:line="240" w:lineRule="exact"/>
      <w:ind w:left="1124" w:hanging="1124"/>
    </w:pPr>
    <w:rPr>
      <w:b/>
    </w:rPr>
  </w:style>
  <w:style w:type="paragraph" w:customStyle="1" w:styleId="218">
    <w:name w:val="Heading_3_NO_ToC"/>
    <w:basedOn w:val="118"/>
    <w:qFormat/>
    <w:uiPriority w:val="0"/>
  </w:style>
  <w:style w:type="paragraph" w:customStyle="1" w:styleId="219">
    <w:name w:val="Chapter_subhead"/>
    <w:basedOn w:val="1"/>
    <w:qFormat/>
    <w:uiPriority w:val="0"/>
    <w:pPr>
      <w:spacing w:after="240"/>
    </w:pPr>
    <w:rPr>
      <w:i/>
      <w:sz w:val="22"/>
    </w:rPr>
  </w:style>
  <w:style w:type="paragraph" w:customStyle="1" w:styleId="220">
    <w:name w:val="Indent 1_note"/>
    <w:basedOn w:val="1"/>
    <w:qFormat/>
    <w:uiPriority w:val="0"/>
    <w:pPr>
      <w:tabs>
        <w:tab w:val="left" w:pos="1200"/>
      </w:tabs>
      <w:spacing w:after="240"/>
      <w:ind w:left="480"/>
    </w:pPr>
    <w:rPr>
      <w:sz w:val="16"/>
    </w:rPr>
  </w:style>
  <w:style w:type="paragraph" w:customStyle="1" w:styleId="221">
    <w:name w:val="Heading_centred"/>
    <w:basedOn w:val="1"/>
    <w:qFormat/>
    <w:uiPriority w:val="0"/>
  </w:style>
  <w:style w:type="paragraph" w:customStyle="1" w:styleId="222">
    <w:name w:val="Table body shaded"/>
    <w:basedOn w:val="1"/>
    <w:qFormat/>
    <w:uiPriority w:val="0"/>
    <w:rPr>
      <w:sz w:val="18"/>
    </w:rPr>
  </w:style>
  <w:style w:type="paragraph" w:customStyle="1" w:styleId="223">
    <w:name w:val="bracket"/>
    <w:basedOn w:val="171"/>
    <w:qFormat/>
    <w:uiPriority w:val="1"/>
  </w:style>
  <w:style w:type="character" w:customStyle="1" w:styleId="224">
    <w:name w:val="table row no break"/>
    <w:qFormat/>
    <w:uiPriority w:val="0"/>
    <w:rPr>
      <w:color w:val="FF33CC"/>
      <w:bdr w:val="single" w:color="FF33CC" w:sz="8" w:space="0"/>
    </w:rPr>
  </w:style>
  <w:style w:type="paragraph" w:customStyle="1" w:styleId="225">
    <w:name w:val="Table bracket"/>
    <w:basedOn w:val="171"/>
    <w:qFormat/>
    <w:uiPriority w:val="0"/>
  </w:style>
  <w:style w:type="paragraph" w:customStyle="1" w:styleId="226">
    <w:name w:val="Note space before"/>
    <w:qFormat/>
    <w:uiPriority w:val="0"/>
    <w:pPr>
      <w:spacing w:before="240" w:after="200" w:line="276" w:lineRule="auto"/>
    </w:pPr>
    <w:rPr>
      <w:rFonts w:ascii="Verdana" w:hAnsi="Verdana" w:eastAsia="Arial" w:cs="Arial"/>
      <w:color w:val="000000" w:themeColor="text1"/>
      <w:sz w:val="16"/>
      <w:szCs w:val="22"/>
      <w:lang w:val="en-GB" w:eastAsia="en-US" w:bidi="ar-SA"/>
      <w14:textFill>
        <w14:solidFill>
          <w14:schemeClr w14:val="tx1"/>
        </w14:solidFill>
      </w14:textFill>
    </w:rPr>
  </w:style>
  <w:style w:type="paragraph" w:customStyle="1" w:styleId="227">
    <w:name w:val="Table body tracking minus 10"/>
    <w:basedOn w:val="1"/>
    <w:qFormat/>
    <w:uiPriority w:val="1"/>
    <w:rPr>
      <w:rFonts w:cs="Arial"/>
      <w:color w:val="1A1A1A"/>
      <w:spacing w:val="-6"/>
      <w:w w:val="99"/>
      <w:sz w:val="18"/>
      <w:szCs w:val="25"/>
    </w:rPr>
  </w:style>
  <w:style w:type="paragraph" w:customStyle="1" w:styleId="228">
    <w:name w:val="THE END _____ landscape"/>
    <w:basedOn w:val="1"/>
    <w:qFormat/>
    <w:uiPriority w:val="0"/>
    <w:pPr>
      <w:pBdr>
        <w:top w:val="single" w:color="auto" w:sz="2" w:space="1"/>
        <w:left w:val="single" w:color="auto" w:sz="2" w:space="4"/>
        <w:bottom w:val="single" w:color="auto" w:sz="2" w:space="1"/>
        <w:right w:val="single" w:color="auto" w:sz="2" w:space="4"/>
      </w:pBdr>
      <w:shd w:val="clear" w:color="auto" w:fill="7E7E7E" w:themeFill="text1" w:themeFillTint="80"/>
      <w:spacing w:before="480" w:after="120" w:line="14" w:lineRule="exact"/>
      <w:ind w:left="3997" w:right="3997"/>
      <w:jc w:val="center"/>
    </w:pPr>
  </w:style>
  <w:style w:type="paragraph" w:customStyle="1" w:styleId="229">
    <w:name w:val="THE END _____ NO space before landscape"/>
    <w:basedOn w:val="1"/>
    <w:qFormat/>
    <w:uiPriority w:val="0"/>
    <w:pPr>
      <w:pBdr>
        <w:top w:val="single" w:color="auto" w:sz="2" w:space="1"/>
        <w:left w:val="single" w:color="auto" w:sz="2" w:space="4"/>
        <w:bottom w:val="single" w:color="auto" w:sz="2" w:space="1"/>
        <w:right w:val="single" w:color="auto" w:sz="2" w:space="4"/>
      </w:pBdr>
      <w:shd w:val="solid" w:color="auto" w:fill="auto"/>
      <w:spacing w:before="240" w:after="120" w:line="14" w:lineRule="exact"/>
      <w:ind w:left="3997" w:right="3997"/>
      <w:jc w:val="center"/>
    </w:pPr>
  </w:style>
  <w:style w:type="paragraph" w:customStyle="1" w:styleId="230">
    <w:name w:val="Heading_1 NO indent"/>
    <w:basedOn w:val="116"/>
    <w:qFormat/>
    <w:uiPriority w:val="0"/>
    <w:pPr>
      <w:ind w:left="0" w:firstLine="0"/>
    </w:pPr>
    <w:rPr>
      <w:lang w:val="en-US"/>
    </w:rPr>
  </w:style>
  <w:style w:type="paragraph" w:customStyle="1" w:styleId="231">
    <w:name w:val="Cover title"/>
    <w:basedOn w:val="1"/>
    <w:qFormat/>
    <w:uiPriority w:val="1"/>
  </w:style>
  <w:style w:type="paragraph" w:customStyle="1" w:styleId="232">
    <w:name w:val="Overset Warning Head"/>
    <w:basedOn w:val="1"/>
    <w:qFormat/>
    <w:uiPriority w:val="0"/>
  </w:style>
  <w:style w:type="paragraph" w:customStyle="1" w:styleId="233">
    <w:name w:val="Overset Warning Details"/>
    <w:basedOn w:val="1"/>
    <w:qFormat/>
    <w:uiPriority w:val="0"/>
  </w:style>
  <w:style w:type="paragraph" w:customStyle="1" w:styleId="234">
    <w:name w:val="Table as text NO space"/>
    <w:basedOn w:val="1"/>
    <w:qFormat/>
    <w:uiPriority w:val="0"/>
    <w:pPr>
      <w:spacing w:line="240" w:lineRule="exact"/>
    </w:pPr>
  </w:style>
  <w:style w:type="paragraph" w:customStyle="1" w:styleId="235">
    <w:name w:val="ToC CODES 1"/>
    <w:basedOn w:val="1"/>
    <w:qFormat/>
    <w:uiPriority w:val="1"/>
  </w:style>
  <w:style w:type="paragraph" w:customStyle="1" w:styleId="236">
    <w:name w:val="ToC CODES 2"/>
    <w:basedOn w:val="1"/>
    <w:qFormat/>
    <w:uiPriority w:val="1"/>
  </w:style>
  <w:style w:type="paragraph" w:customStyle="1" w:styleId="237">
    <w:name w:val="ToC CODES 3"/>
    <w:basedOn w:val="1"/>
    <w:qFormat/>
    <w:uiPriority w:val="1"/>
  </w:style>
  <w:style w:type="character" w:customStyle="1" w:styleId="238">
    <w:name w:val="Hairspace_break"/>
    <w:qFormat/>
    <w:uiPriority w:val="0"/>
    <w:rPr>
      <w:bdr w:val="single" w:color="00B0F0" w:sz="4" w:space="0"/>
    </w:rPr>
  </w:style>
  <w:style w:type="character" w:customStyle="1" w:styleId="239">
    <w:name w:val="Stix Math"/>
    <w:qFormat/>
    <w:uiPriority w:val="0"/>
  </w:style>
  <w:style w:type="paragraph" w:customStyle="1" w:styleId="240">
    <w:name w:val="Figure caption space after"/>
    <w:basedOn w:val="111"/>
    <w:qFormat/>
    <w:uiPriority w:val="0"/>
  </w:style>
  <w:style w:type="paragraph" w:customStyle="1" w:styleId="241">
    <w:name w:val="Heading_1 NO Toc NO indent"/>
    <w:next w:val="2"/>
    <w:qFormat/>
    <w:uiPriority w:val="0"/>
    <w:pPr>
      <w:keepNext/>
      <w:spacing w:before="480" w:after="240" w:line="240" w:lineRule="exact"/>
    </w:pPr>
    <w:rPr>
      <w:rFonts w:ascii="Verdana" w:hAnsi="Verdana" w:eastAsiaTheme="minorHAnsi" w:cstheme="majorBidi"/>
      <w:b/>
      <w:color w:val="000000" w:themeColor="text1"/>
      <w:lang w:val="en-GB" w:eastAsia="zh-TW" w:bidi="ar-SA"/>
      <w14:textFill>
        <w14:solidFill>
          <w14:schemeClr w14:val="tx1"/>
        </w14:solidFill>
      </w14:textFill>
    </w:rPr>
  </w:style>
  <w:style w:type="character" w:customStyle="1" w:styleId="242">
    <w:name w:val="书籍标题1"/>
    <w:basedOn w:val="36"/>
    <w:qFormat/>
    <w:uiPriority w:val="1"/>
    <w:rPr>
      <w:b/>
      <w:bCs/>
      <w:smallCaps/>
      <w:spacing w:val="5"/>
    </w:rPr>
  </w:style>
  <w:style w:type="paragraph" w:customStyle="1" w:styleId="243">
    <w:name w:val="Table body centred tracking minus 10"/>
    <w:qFormat/>
    <w:uiPriority w:val="1"/>
    <w:pPr>
      <w:spacing w:line="220" w:lineRule="exact"/>
      <w:jc w:val="center"/>
    </w:pPr>
    <w:rPr>
      <w:rFonts w:ascii="Verdana" w:hAnsi="Verdana" w:eastAsiaTheme="minorHAnsi" w:cstheme="majorBidi"/>
      <w:color w:val="000000" w:themeColor="text1"/>
      <w:spacing w:val="-6"/>
      <w:w w:val="99"/>
      <w:sz w:val="18"/>
      <w:lang w:val="en-GB" w:eastAsia="zh-TW" w:bidi="ar-SA"/>
      <w14:textFill>
        <w14:solidFill>
          <w14:schemeClr w14:val="tx1"/>
        </w14:solidFill>
      </w14:textFill>
    </w:rPr>
  </w:style>
  <w:style w:type="character" w:customStyle="1" w:styleId="244">
    <w:name w:val="En space"/>
    <w:qFormat/>
    <w:uiPriority w:val="1"/>
    <w:rPr>
      <w:bdr w:val="single" w:color="auto" w:sz="4" w:space="0"/>
      <w:lang w:val="fr-FR"/>
    </w:rPr>
  </w:style>
  <w:style w:type="paragraph" w:customStyle="1" w:styleId="245">
    <w:name w:val="Title divider page"/>
    <w:qFormat/>
    <w:uiPriority w:val="0"/>
    <w:pPr>
      <w:spacing w:after="200"/>
    </w:pPr>
    <w:rPr>
      <w:rFonts w:ascii="Verdana" w:hAnsi="Verdana" w:eastAsiaTheme="minorHAnsi" w:cstheme="majorBidi"/>
      <w:b/>
      <w:color w:val="000000" w:themeColor="text1"/>
      <w:sz w:val="34"/>
      <w:lang w:val="fr-CH" w:eastAsia="zh-TW" w:bidi="ar-SA"/>
      <w14:textFill>
        <w14:solidFill>
          <w14:schemeClr w14:val="tx1"/>
        </w14:solidFill>
      </w14:textFill>
    </w:rPr>
  </w:style>
  <w:style w:type="paragraph" w:customStyle="1" w:styleId="246">
    <w:name w:val="TPS Section"/>
    <w:basedOn w:val="247"/>
    <w:next w:val="1"/>
    <w:qFormat/>
    <w:uiPriority w:val="1"/>
    <w:pPr>
      <w:pBdr>
        <w:top w:val="single" w:color="auto" w:sz="4" w:space="3"/>
      </w:pBdr>
      <w:shd w:val="clear" w:color="auto" w:fill="87A982"/>
    </w:pPr>
    <w:rPr>
      <w:b/>
    </w:rPr>
  </w:style>
  <w:style w:type="paragraph" w:customStyle="1" w:styleId="247">
    <w:name w:val="TPS Markup Base"/>
    <w:qFormat/>
    <w:uiPriority w:val="1"/>
    <w:pPr>
      <w:spacing w:line="300" w:lineRule="auto"/>
    </w:pPr>
    <w:rPr>
      <w:rFonts w:ascii="Arial" w:hAnsi="Arial" w:eastAsia="Times New Roman" w:cs="Times New Roman"/>
      <w:color w:val="2F275B"/>
      <w:sz w:val="18"/>
      <w:szCs w:val="24"/>
      <w:lang w:val="en-US" w:eastAsia="en-US" w:bidi="ar-SA"/>
    </w:rPr>
  </w:style>
  <w:style w:type="paragraph" w:customStyle="1" w:styleId="248">
    <w:name w:val="TPS Section Data"/>
    <w:basedOn w:val="247"/>
    <w:next w:val="1"/>
    <w:qFormat/>
    <w:uiPriority w:val="1"/>
    <w:pPr>
      <w:shd w:val="clear" w:color="auto" w:fill="87A982"/>
    </w:pPr>
  </w:style>
  <w:style w:type="character" w:customStyle="1" w:styleId="249">
    <w:name w:val="Serif Semi Bold Italic"/>
    <w:qFormat/>
    <w:uiPriority w:val="99"/>
    <w:rPr>
      <w:rFonts w:ascii="StoneSerif-SemiboldItalic" w:hAnsi="StoneSerif-SemiboldItalic" w:cs="StoneSerif-SemiboldItalic"/>
      <w:i/>
      <w:iCs/>
      <w:u w:val="none"/>
    </w:rPr>
  </w:style>
  <w:style w:type="character" w:customStyle="1" w:styleId="250">
    <w:name w:val="Sans Serif"/>
    <w:qFormat/>
    <w:uiPriority w:val="99"/>
    <w:rPr>
      <w:rFonts w:ascii="StoneSans" w:hAnsi="StoneSans" w:cs="StoneSans"/>
    </w:rPr>
  </w:style>
  <w:style w:type="character" w:customStyle="1" w:styleId="251">
    <w:name w:val="Sans Semi Bold"/>
    <w:qFormat/>
    <w:uiPriority w:val="99"/>
    <w:rPr>
      <w:rFonts w:ascii="StoneSans-Semibold" w:hAnsi="StoneSans-Semibold" w:cs="StoneSans-Semibold"/>
      <w:w w:val="100"/>
      <w:position w:val="0"/>
      <w:u w:val="none"/>
      <w:vertAlign w:val="baseline"/>
      <w:lang w:val="en-GB"/>
    </w:rPr>
  </w:style>
  <w:style w:type="paragraph" w:customStyle="1" w:styleId="252">
    <w:name w:val="TPS Table"/>
    <w:basedOn w:val="1"/>
    <w:next w:val="1"/>
    <w:qFormat/>
    <w:uiPriority w:val="1"/>
    <w:pPr>
      <w:pBdr>
        <w:top w:val="single" w:color="auto" w:sz="2" w:space="3"/>
      </w:pBdr>
      <w:shd w:val="clear" w:color="auto" w:fill="C0AB87"/>
      <w:spacing w:line="300" w:lineRule="auto"/>
    </w:pPr>
    <w:rPr>
      <w:rFonts w:ascii="Arial" w:hAnsi="Arial" w:eastAsia="Times New Roman" w:cs="Times New Roman"/>
      <w:b/>
      <w:color w:val="2F275B"/>
      <w:sz w:val="18"/>
      <w:szCs w:val="24"/>
    </w:rPr>
  </w:style>
  <w:style w:type="paragraph" w:customStyle="1" w:styleId="253">
    <w:name w:val="TPS Element"/>
    <w:basedOn w:val="247"/>
    <w:next w:val="1"/>
    <w:qFormat/>
    <w:uiPriority w:val="1"/>
    <w:pPr>
      <w:pBdr>
        <w:top w:val="single" w:color="auto" w:sz="2" w:space="3"/>
      </w:pBdr>
      <w:shd w:val="clear" w:color="auto" w:fill="C9D5B3"/>
    </w:pPr>
    <w:rPr>
      <w:b/>
    </w:rPr>
  </w:style>
  <w:style w:type="paragraph" w:customStyle="1" w:styleId="254">
    <w:name w:val="TPS Element Data"/>
    <w:basedOn w:val="247"/>
    <w:next w:val="1"/>
    <w:qFormat/>
    <w:uiPriority w:val="1"/>
    <w:pPr>
      <w:shd w:val="clear" w:color="auto" w:fill="C9D5B3"/>
    </w:pPr>
  </w:style>
  <w:style w:type="paragraph" w:customStyle="1" w:styleId="255">
    <w:name w:val="TPS Element End"/>
    <w:basedOn w:val="247"/>
    <w:next w:val="1"/>
    <w:qFormat/>
    <w:uiPriority w:val="1"/>
    <w:pPr>
      <w:pBdr>
        <w:bottom w:val="single" w:color="auto" w:sz="2" w:space="1"/>
      </w:pBdr>
      <w:shd w:val="clear" w:color="auto" w:fill="C9D5B3"/>
    </w:pPr>
    <w:rPr>
      <w:b/>
    </w:rPr>
  </w:style>
  <w:style w:type="paragraph" w:customStyle="1" w:styleId="256">
    <w:name w:val="Chapter head + No space"/>
    <w:basedOn w:val="106"/>
    <w:qFormat/>
    <w:uiPriority w:val="99"/>
    <w:pPr>
      <w:keepNext w:val="0"/>
      <w:widowControl w:val="0"/>
      <w:tabs>
        <w:tab w:val="center" w:pos="4700"/>
      </w:tabs>
      <w:suppressAutoHyphens/>
      <w:autoSpaceDE w:val="0"/>
      <w:autoSpaceDN w:val="0"/>
      <w:adjustRightInd w:val="0"/>
      <w:spacing w:after="0" w:line="280" w:lineRule="atLeast"/>
      <w:textAlignment w:val="center"/>
      <w:outlineLvl w:val="9"/>
    </w:pPr>
    <w:rPr>
      <w:rFonts w:ascii="StoneSans-Bold" w:hAnsi="StoneSans-Bold" w:cs="StoneSans-Bold" w:eastAsiaTheme="minorEastAsia"/>
      <w:bCs/>
      <w:caps w:val="0"/>
      <w:color w:val="000000"/>
      <w:w w:val="95"/>
      <w:szCs w:val="24"/>
    </w:rPr>
  </w:style>
  <w:style w:type="paragraph" w:customStyle="1" w:styleId="257">
    <w:name w:val="Body"/>
    <w:basedOn w:val="1"/>
    <w:qFormat/>
    <w:uiPriority w:val="99"/>
    <w:pPr>
      <w:widowControl w:val="0"/>
      <w:tabs>
        <w:tab w:val="left" w:pos="1134"/>
      </w:tabs>
      <w:suppressAutoHyphens/>
      <w:autoSpaceDE w:val="0"/>
      <w:autoSpaceDN w:val="0"/>
      <w:adjustRightInd w:val="0"/>
      <w:spacing w:after="170" w:line="240" w:lineRule="atLeast"/>
      <w:textAlignment w:val="center"/>
    </w:pPr>
    <w:rPr>
      <w:rFonts w:ascii="StoneSans" w:hAnsi="StoneSans" w:cs="StoneSans" w:eastAsiaTheme="minorEastAsia"/>
      <w:color w:val="000000"/>
      <w:lang w:eastAsia="en-US"/>
    </w:rPr>
  </w:style>
  <w:style w:type="paragraph" w:customStyle="1" w:styleId="258">
    <w:name w:val="Head 1"/>
    <w:basedOn w:val="257"/>
    <w:next w:val="1"/>
    <w:qFormat/>
    <w:uiPriority w:val="99"/>
    <w:pPr>
      <w:spacing w:before="480" w:after="240"/>
      <w:ind w:left="1134" w:hanging="1134"/>
    </w:pPr>
    <w:rPr>
      <w:rFonts w:ascii="StoneSans-Bold" w:hAnsi="StoneSans-Bold" w:cs="StoneSans-Bold"/>
      <w:b/>
      <w:bCs/>
      <w:caps/>
    </w:rPr>
  </w:style>
  <w:style w:type="paragraph" w:customStyle="1" w:styleId="259">
    <w:name w:val="Note + space"/>
    <w:basedOn w:val="141"/>
    <w:qFormat/>
    <w:uiPriority w:val="99"/>
    <w:pPr>
      <w:widowControl w:val="0"/>
      <w:tabs>
        <w:tab w:val="left" w:pos="850"/>
        <w:tab w:val="clear" w:pos="720"/>
      </w:tabs>
      <w:suppressAutoHyphens/>
      <w:autoSpaceDE w:val="0"/>
      <w:autoSpaceDN w:val="0"/>
      <w:adjustRightInd w:val="0"/>
      <w:spacing w:line="200" w:lineRule="atLeast"/>
      <w:textAlignment w:val="center"/>
    </w:pPr>
    <w:rPr>
      <w:rFonts w:ascii="StoneSans" w:hAnsi="StoneSans" w:cs="StoneSans" w:eastAsiaTheme="minorEastAsia"/>
      <w:color w:val="000000"/>
      <w:szCs w:val="16"/>
    </w:rPr>
  </w:style>
  <w:style w:type="paragraph" w:customStyle="1" w:styleId="260">
    <w:name w:val="Indent 1 + space"/>
    <w:basedOn w:val="257"/>
    <w:qFormat/>
    <w:uiPriority w:val="99"/>
    <w:pPr>
      <w:spacing w:after="240"/>
      <w:ind w:left="480" w:hanging="480"/>
    </w:pPr>
  </w:style>
  <w:style w:type="paragraph" w:customStyle="1" w:styleId="261">
    <w:name w:val="Note (1)"/>
    <w:basedOn w:val="257"/>
    <w:qFormat/>
    <w:uiPriority w:val="99"/>
    <w:pPr>
      <w:spacing w:after="0" w:line="200" w:lineRule="atLeast"/>
      <w:ind w:left="400" w:hanging="400"/>
    </w:pPr>
    <w:rPr>
      <w:sz w:val="16"/>
      <w:szCs w:val="16"/>
    </w:rPr>
  </w:style>
  <w:style w:type="paragraph" w:customStyle="1" w:styleId="262">
    <w:name w:val="Note (1) Space"/>
    <w:basedOn w:val="257"/>
    <w:qFormat/>
    <w:uiPriority w:val="99"/>
    <w:pPr>
      <w:spacing w:after="240" w:line="200" w:lineRule="atLeast"/>
      <w:ind w:left="400" w:hanging="400"/>
      <w:jc w:val="both"/>
    </w:pPr>
    <w:rPr>
      <w:sz w:val="16"/>
      <w:szCs w:val="16"/>
    </w:rPr>
  </w:style>
  <w:style w:type="paragraph" w:customStyle="1" w:styleId="263">
    <w:name w:val="Indent 1 (BODY)"/>
    <w:basedOn w:val="1"/>
    <w:next w:val="1"/>
    <w:qFormat/>
    <w:uiPriority w:val="99"/>
    <w:pPr>
      <w:widowControl w:val="0"/>
      <w:tabs>
        <w:tab w:val="left" w:pos="480"/>
      </w:tabs>
      <w:suppressAutoHyphens/>
      <w:autoSpaceDE w:val="0"/>
      <w:autoSpaceDN w:val="0"/>
      <w:adjustRightInd w:val="0"/>
      <w:spacing w:after="240" w:line="240" w:lineRule="atLeast"/>
      <w:ind w:left="480" w:hanging="480"/>
      <w:textAlignment w:val="center"/>
    </w:pPr>
    <w:rPr>
      <w:rFonts w:ascii="StoneSansITC-Medium" w:hAnsi="StoneSansITC-Medium" w:cs="StoneSansITC-Medium" w:eastAsiaTheme="minorEastAsia"/>
      <w:color w:val="000000"/>
      <w:lang w:eastAsia="en-US"/>
    </w:rPr>
  </w:style>
  <w:style w:type="paragraph" w:customStyle="1" w:styleId="264">
    <w:name w:val="Chapter_subhead (HEADINGS)"/>
    <w:basedOn w:val="1"/>
    <w:next w:val="1"/>
    <w:qFormat/>
    <w:uiPriority w:val="99"/>
    <w:pPr>
      <w:widowControl w:val="0"/>
      <w:tabs>
        <w:tab w:val="left" w:pos="1120"/>
      </w:tabs>
      <w:suppressAutoHyphens/>
      <w:autoSpaceDE w:val="0"/>
      <w:autoSpaceDN w:val="0"/>
      <w:adjustRightInd w:val="0"/>
      <w:spacing w:before="240" w:after="240" w:line="240" w:lineRule="atLeast"/>
      <w:textAlignment w:val="center"/>
    </w:pPr>
    <w:rPr>
      <w:rFonts w:ascii="StoneSansITC-MediumItalic" w:hAnsi="StoneSansITC-MediumItalic" w:cs="StoneSansITC-MediumItalic" w:eastAsiaTheme="minorEastAsia"/>
      <w:i/>
      <w:iCs/>
      <w:color w:val="000000"/>
      <w:lang w:eastAsia="en-US"/>
    </w:rPr>
  </w:style>
  <w:style w:type="paragraph" w:customStyle="1" w:styleId="265">
    <w:name w:val="Heading_Revision_table"/>
    <w:basedOn w:val="1"/>
    <w:qFormat/>
    <w:uiPriority w:val="0"/>
  </w:style>
  <w:style w:type="paragraph" w:customStyle="1" w:styleId="266">
    <w:name w:val="Keep_next_body_text"/>
    <w:basedOn w:val="1"/>
    <w:qFormat/>
    <w:uiPriority w:val="0"/>
  </w:style>
  <w:style w:type="paragraph" w:customStyle="1" w:styleId="267">
    <w:name w:val="Footnote before table"/>
    <w:basedOn w:val="1"/>
    <w:qFormat/>
    <w:uiPriority w:val="0"/>
  </w:style>
  <w:style w:type="paragraph" w:customStyle="1" w:styleId="268">
    <w:name w:val="Footnote after table"/>
    <w:basedOn w:val="1"/>
    <w:qFormat/>
    <w:uiPriority w:val="0"/>
  </w:style>
  <w:style w:type="paragraph" w:customStyle="1" w:styleId="269">
    <w:name w:val="Table narrow2"/>
    <w:basedOn w:val="1"/>
    <w:qFormat/>
    <w:uiPriority w:val="1"/>
  </w:style>
  <w:style w:type="paragraph" w:customStyle="1" w:styleId="270">
    <w:name w:val="Table narrrow"/>
    <w:basedOn w:val="1"/>
    <w:qFormat/>
    <w:uiPriority w:val="1"/>
  </w:style>
  <w:style w:type="paragraph" w:customStyle="1" w:styleId="271">
    <w:name w:val="Table shaded divider"/>
    <w:basedOn w:val="1"/>
    <w:qFormat/>
    <w:uiPriority w:val="0"/>
  </w:style>
  <w:style w:type="paragraph" w:customStyle="1" w:styleId="272">
    <w:name w:val="TOC 3 digit"/>
    <w:basedOn w:val="1"/>
    <w:qFormat/>
    <w:uiPriority w:val="1"/>
  </w:style>
  <w:style w:type="paragraph" w:customStyle="1" w:styleId="273">
    <w:name w:val="TOC 1 digit long"/>
    <w:basedOn w:val="1"/>
    <w:qFormat/>
    <w:uiPriority w:val="1"/>
  </w:style>
  <w:style w:type="paragraph" w:customStyle="1" w:styleId="274">
    <w:name w:val="TOC 2 digit long"/>
    <w:basedOn w:val="1"/>
    <w:qFormat/>
    <w:uiPriority w:val="1"/>
  </w:style>
  <w:style w:type="paragraph" w:customStyle="1" w:styleId="275">
    <w:name w:val="TOC 3 digit long"/>
    <w:basedOn w:val="1"/>
    <w:qFormat/>
    <w:uiPriority w:val="1"/>
  </w:style>
  <w:style w:type="paragraph" w:customStyle="1" w:styleId="276">
    <w:name w:val="TOC Book 1"/>
    <w:basedOn w:val="1"/>
    <w:qFormat/>
    <w:uiPriority w:val="1"/>
  </w:style>
  <w:style w:type="paragraph" w:customStyle="1" w:styleId="277">
    <w:name w:val="ToC Guidelines 0"/>
    <w:basedOn w:val="1"/>
    <w:qFormat/>
    <w:uiPriority w:val="1"/>
  </w:style>
  <w:style w:type="paragraph" w:customStyle="1" w:styleId="278">
    <w:name w:val="ToC Guidelines 1"/>
    <w:basedOn w:val="1"/>
    <w:qFormat/>
    <w:uiPriority w:val="1"/>
  </w:style>
  <w:style w:type="paragraph" w:customStyle="1" w:styleId="279">
    <w:name w:val="Editorial Note Heading"/>
    <w:basedOn w:val="1"/>
    <w:qFormat/>
    <w:uiPriority w:val="1"/>
  </w:style>
  <w:style w:type="paragraph" w:customStyle="1" w:styleId="280">
    <w:name w:val="Box text indent Examples"/>
    <w:basedOn w:val="1"/>
    <w:qFormat/>
    <w:uiPriority w:val="1"/>
    <w:pPr>
      <w:tabs>
        <w:tab w:val="left" w:pos="2400"/>
      </w:tabs>
      <w:spacing w:line="220" w:lineRule="exact"/>
      <w:ind w:left="2398" w:hanging="2398"/>
    </w:pPr>
    <w:rPr>
      <w:sz w:val="19"/>
    </w:rPr>
  </w:style>
  <w:style w:type="paragraph" w:customStyle="1" w:styleId="281">
    <w:name w:val="Indent 2_note"/>
    <w:basedOn w:val="1"/>
    <w:qFormat/>
    <w:uiPriority w:val="0"/>
    <w:pPr>
      <w:tabs>
        <w:tab w:val="left" w:pos="1661"/>
      </w:tabs>
      <w:spacing w:after="240"/>
      <w:ind w:left="958"/>
    </w:pPr>
    <w:rPr>
      <w:sz w:val="16"/>
    </w:rPr>
  </w:style>
  <w:style w:type="paragraph" w:customStyle="1" w:styleId="282">
    <w:name w:val="Indent 1_Notes heading"/>
    <w:basedOn w:val="1"/>
    <w:qFormat/>
    <w:uiPriority w:val="0"/>
    <w:pPr>
      <w:spacing w:line="276" w:lineRule="auto"/>
      <w:ind w:left="482"/>
    </w:pPr>
    <w:rPr>
      <w:sz w:val="16"/>
    </w:rPr>
  </w:style>
  <w:style w:type="paragraph" w:customStyle="1" w:styleId="283">
    <w:name w:val="Indent 1_Notes 1"/>
    <w:basedOn w:val="1"/>
    <w:qFormat/>
    <w:uiPriority w:val="0"/>
    <w:pPr>
      <w:spacing w:after="240"/>
      <w:ind w:left="839" w:hanging="357"/>
    </w:pPr>
    <w:rPr>
      <w:sz w:val="16"/>
    </w:rPr>
  </w:style>
  <w:style w:type="paragraph" w:customStyle="1" w:styleId="284">
    <w:name w:val="Figure caption tracking minus 10"/>
    <w:basedOn w:val="1"/>
    <w:next w:val="2"/>
    <w:qFormat/>
    <w:uiPriority w:val="0"/>
    <w:pPr>
      <w:jc w:val="center"/>
    </w:pPr>
    <w:rPr>
      <w:b/>
      <w:color w:val="595959" w:themeColor="text1" w:themeTint="A6"/>
      <w:spacing w:val="-14"/>
      <w14:textFill>
        <w14:solidFill>
          <w14:schemeClr w14:val="tx1">
            <w14:lumMod w14:val="65000"/>
            <w14:lumOff w14:val="35000"/>
          </w14:schemeClr>
        </w14:solidFill>
      </w14:textFill>
    </w:rPr>
  </w:style>
  <w:style w:type="paragraph" w:customStyle="1" w:styleId="285">
    <w:name w:val="Indent 5"/>
    <w:qFormat/>
    <w:uiPriority w:val="0"/>
    <w:pPr>
      <w:tabs>
        <w:tab w:val="left" w:pos="2400"/>
      </w:tabs>
      <w:spacing w:after="240" w:line="240" w:lineRule="exact"/>
      <w:ind w:left="2400" w:hanging="480"/>
    </w:pPr>
    <w:rPr>
      <w:rFonts w:ascii="Verdana" w:hAnsi="Verdana" w:eastAsiaTheme="minorHAnsi" w:cstheme="majorBidi"/>
      <w:color w:val="000000" w:themeColor="text1"/>
      <w:lang w:val="en-GB" w:eastAsia="zh-TW" w:bidi="ar-SA"/>
      <w14:textFill>
        <w14:solidFill>
          <w14:schemeClr w14:val="tx1"/>
        </w14:solidFill>
      </w14:textFill>
    </w:rPr>
  </w:style>
  <w:style w:type="paragraph" w:customStyle="1" w:styleId="286">
    <w:name w:val="Indent 5 NO space after"/>
    <w:qFormat/>
    <w:uiPriority w:val="0"/>
    <w:pPr>
      <w:tabs>
        <w:tab w:val="left" w:pos="2400"/>
      </w:tabs>
      <w:spacing w:line="240" w:lineRule="exact"/>
      <w:ind w:left="2400" w:hanging="480"/>
    </w:pPr>
    <w:rPr>
      <w:rFonts w:ascii="Verdana" w:hAnsi="Verdana" w:eastAsiaTheme="minorHAnsi" w:cstheme="majorBidi"/>
      <w:color w:val="000000" w:themeColor="text1"/>
      <w:lang w:val="en-GB" w:eastAsia="zh-TW" w:bidi="ar-SA"/>
      <w14:textFill>
        <w14:solidFill>
          <w14:schemeClr w14:val="tx1"/>
        </w14:solidFill>
      </w14:textFill>
    </w:rPr>
  </w:style>
  <w:style w:type="paragraph" w:customStyle="1" w:styleId="287">
    <w:name w:val="Indent 5 semibold"/>
    <w:qFormat/>
    <w:uiPriority w:val="0"/>
    <w:pPr>
      <w:tabs>
        <w:tab w:val="left" w:pos="2400"/>
      </w:tabs>
      <w:spacing w:after="240" w:line="240" w:lineRule="exact"/>
      <w:ind w:left="2400" w:hanging="480"/>
    </w:pPr>
    <w:rPr>
      <w:rFonts w:ascii="Verdana" w:hAnsi="Verdana" w:eastAsiaTheme="minorHAnsi" w:cstheme="majorBidi"/>
      <w:b/>
      <w:color w:val="808080" w:themeColor="text1" w:themeTint="80"/>
      <w:lang w:val="en-GB" w:eastAsia="zh-TW" w:bidi="ar-SA"/>
      <w14:textFill>
        <w14:solidFill>
          <w14:schemeClr w14:val="tx1">
            <w14:lumMod w14:val="50000"/>
            <w14:lumOff w14:val="50000"/>
          </w14:schemeClr>
        </w14:solidFill>
      </w14:textFill>
    </w:rPr>
  </w:style>
  <w:style w:type="paragraph" w:customStyle="1" w:styleId="288">
    <w:name w:val="Indent 5 semibold NO space after"/>
    <w:qFormat/>
    <w:uiPriority w:val="1"/>
    <w:pPr>
      <w:tabs>
        <w:tab w:val="left" w:pos="2400"/>
      </w:tabs>
      <w:spacing w:line="240" w:lineRule="exact"/>
      <w:ind w:left="2400" w:hanging="480"/>
    </w:pPr>
    <w:rPr>
      <w:rFonts w:ascii="Verdana" w:hAnsi="Verdana" w:eastAsiaTheme="minorHAnsi" w:cstheme="majorBidi"/>
      <w:b/>
      <w:color w:val="808080" w:themeColor="text1" w:themeTint="80"/>
      <w:lang w:val="en-GB" w:eastAsia="zh-TW" w:bidi="ar-SA"/>
      <w14:textFill>
        <w14:solidFill>
          <w14:schemeClr w14:val="tx1">
            <w14:lumMod w14:val="50000"/>
            <w14:lumOff w14:val="50000"/>
          </w14:schemeClr>
        </w14:solidFill>
      </w14:textFill>
    </w:rPr>
  </w:style>
  <w:style w:type="paragraph" w:customStyle="1" w:styleId="289">
    <w:name w:val="Keep_next_indent_1"/>
    <w:basedOn w:val="1"/>
    <w:qFormat/>
    <w:uiPriority w:val="0"/>
  </w:style>
  <w:style w:type="paragraph" w:customStyle="1" w:styleId="290">
    <w:name w:val="Indent 5 semi bold"/>
    <w:basedOn w:val="1"/>
    <w:qFormat/>
    <w:uiPriority w:val="0"/>
  </w:style>
  <w:style w:type="paragraph" w:customStyle="1" w:styleId="291">
    <w:name w:val="Indent 5 semi bold NO space after"/>
    <w:basedOn w:val="1"/>
    <w:qFormat/>
    <w:uiPriority w:val="0"/>
  </w:style>
  <w:style w:type="paragraph" w:customStyle="1" w:styleId="292">
    <w:name w:val="Table header tracking minus 10"/>
    <w:basedOn w:val="177"/>
    <w:qFormat/>
    <w:uiPriority w:val="0"/>
    <w:rPr>
      <w:spacing w:val="-6"/>
      <w:w w:val="99"/>
    </w:rPr>
  </w:style>
  <w:style w:type="paragraph" w:customStyle="1" w:styleId="293">
    <w:name w:val="TOC 00 Part"/>
    <w:basedOn w:val="1"/>
    <w:qFormat/>
    <w:uiPriority w:val="1"/>
  </w:style>
  <w:style w:type="character" w:customStyle="1" w:styleId="294">
    <w:name w:val="TPS Element Ref"/>
    <w:qFormat/>
    <w:uiPriority w:val="1"/>
    <w:rPr>
      <w:rFonts w:ascii="Arial" w:hAnsi="Arial" w:eastAsia="Times New Roman" w:cs="Times New Roman"/>
      <w:b/>
      <w:color w:val="2F275B"/>
      <w:sz w:val="18"/>
      <w:szCs w:val="24"/>
      <w:shd w:val="clear" w:color="auto" w:fill="C9D5B3"/>
      <w:lang w:val="en-AU" w:eastAsia="en-US"/>
    </w:rPr>
  </w:style>
  <w:style w:type="character" w:customStyle="1" w:styleId="295">
    <w:name w:val="TPS Hyperlink"/>
    <w:qFormat/>
    <w:uiPriority w:val="1"/>
    <w:rPr>
      <w:rFonts w:ascii="Arial" w:hAnsi="Arial" w:eastAsia="Times New Roman" w:cs="Times New Roman"/>
      <w:b/>
      <w:color w:val="2F275B"/>
      <w:sz w:val="18"/>
      <w:szCs w:val="24"/>
      <w:shd w:val="clear" w:color="auto" w:fill="E1ADB4"/>
      <w:lang w:val="en-AU" w:eastAsia="en-US"/>
    </w:rPr>
  </w:style>
  <w:style w:type="paragraph" w:customStyle="1" w:styleId="296">
    <w:name w:val="Codes_body_text_Ext"/>
    <w:basedOn w:val="1"/>
    <w:qFormat/>
    <w:uiPriority w:val="0"/>
    <w:pPr>
      <w:tabs>
        <w:tab w:val="left" w:pos="1800"/>
      </w:tabs>
      <w:spacing w:after="240" w:line="240" w:lineRule="exact"/>
    </w:pPr>
  </w:style>
  <w:style w:type="paragraph" w:customStyle="1" w:styleId="297">
    <w:name w:val="Codes_heading_Ext"/>
    <w:basedOn w:val="1"/>
    <w:qFormat/>
    <w:uiPriority w:val="0"/>
    <w:pPr>
      <w:spacing w:before="240" w:after="240" w:line="240" w:lineRule="exact"/>
      <w:ind w:left="1800" w:hanging="1800"/>
    </w:pPr>
    <w:rPr>
      <w:b/>
    </w:rPr>
  </w:style>
  <w:style w:type="paragraph" w:customStyle="1" w:styleId="298">
    <w:name w:val="Style1"/>
    <w:basedOn w:val="1"/>
    <w:qFormat/>
    <w:uiPriority w:val="1"/>
    <w:rPr>
      <w:b/>
      <w:caps/>
    </w:rPr>
  </w:style>
  <w:style w:type="paragraph" w:customStyle="1" w:styleId="299">
    <w:name w:val="Codes_heading_FM"/>
    <w:basedOn w:val="1"/>
    <w:qFormat/>
    <w:uiPriority w:val="0"/>
    <w:pPr>
      <w:tabs>
        <w:tab w:val="left" w:pos="2040"/>
      </w:tabs>
      <w:ind w:left="3840" w:hanging="3840"/>
    </w:pPr>
    <w:rPr>
      <w:b/>
      <w:caps/>
    </w:rPr>
  </w:style>
  <w:style w:type="paragraph" w:customStyle="1" w:styleId="300">
    <w:name w:val="ToC CODES 4"/>
    <w:basedOn w:val="1"/>
    <w:qFormat/>
    <w:uiPriority w:val="1"/>
  </w:style>
  <w:style w:type="character" w:customStyle="1" w:styleId="301">
    <w:name w:val="Cover_italic"/>
    <w:qFormat/>
    <w:uiPriority w:val="0"/>
  </w:style>
  <w:style w:type="character" w:customStyle="1" w:styleId="302">
    <w:name w:val="Tracking minus 10"/>
    <w:qFormat/>
    <w:uiPriority w:val="0"/>
    <w:rPr>
      <w:color w:val="000000" w:themeColor="text1"/>
      <w14:textFill>
        <w14:solidFill>
          <w14:schemeClr w14:val="tx1"/>
        </w14:solidFill>
      </w14:textFill>
    </w:rPr>
  </w:style>
  <w:style w:type="character" w:customStyle="1" w:styleId="303">
    <w:name w:val="Highlight blue"/>
    <w:qFormat/>
    <w:uiPriority w:val="1"/>
    <w:rPr>
      <w:color w:val="auto"/>
      <w:u w:val="none"/>
      <w:shd w:val="clear" w:color="auto" w:fill="B8CCE4" w:themeFill="accent1" w:themeFillTint="66"/>
    </w:rPr>
  </w:style>
  <w:style w:type="character" w:customStyle="1" w:styleId="304">
    <w:name w:val="Highlight yellow"/>
    <w:qFormat/>
    <w:uiPriority w:val="0"/>
    <w:rPr>
      <w:color w:val="auto"/>
      <w:u w:val="none"/>
      <w:shd w:val="solid" w:color="FFFF00" w:fill="FFFF00"/>
    </w:rPr>
  </w:style>
  <w:style w:type="paragraph" w:customStyle="1" w:styleId="305">
    <w:name w:val="Courier indent"/>
    <w:basedOn w:val="2"/>
    <w:qFormat/>
    <w:uiPriority w:val="0"/>
    <w:pPr>
      <w:tabs>
        <w:tab w:val="clear" w:pos="1120"/>
      </w:tabs>
      <w:spacing w:after="220" w:line="240" w:lineRule="auto"/>
      <w:ind w:left="1120" w:hanging="1120"/>
    </w:pPr>
    <w:rPr>
      <w:rFonts w:ascii="Courier" w:hAnsi="Courier"/>
      <w:sz w:val="18"/>
    </w:rPr>
  </w:style>
  <w:style w:type="paragraph" w:customStyle="1" w:styleId="306">
    <w:name w:val="Courier NO space after"/>
    <w:basedOn w:val="305"/>
    <w:qFormat/>
    <w:uiPriority w:val="1"/>
    <w:pPr>
      <w:spacing w:after="0"/>
    </w:pPr>
  </w:style>
  <w:style w:type="character" w:customStyle="1" w:styleId="307">
    <w:name w:val="Highlight violet"/>
    <w:basedOn w:val="36"/>
    <w:qFormat/>
    <w:uiPriority w:val="0"/>
    <w:rPr>
      <w:shd w:val="solid" w:color="CCC0D9" w:themeColor="accent4" w:themeTint="66" w:fill="CCC0D9" w:themeFill="accent4" w:themeFillTint="66"/>
    </w:rPr>
  </w:style>
  <w:style w:type="paragraph" w:customStyle="1" w:styleId="308">
    <w:name w:val="Courier box blue border"/>
    <w:basedOn w:val="2"/>
    <w:qFormat/>
    <w:uiPriority w:val="0"/>
    <w:pPr>
      <w:pBdr>
        <w:top w:val="single" w:color="auto" w:sz="4" w:space="1"/>
        <w:left w:val="single" w:color="auto" w:sz="4" w:space="3"/>
        <w:bottom w:val="single" w:color="auto" w:sz="4" w:space="1"/>
        <w:right w:val="single" w:color="auto" w:sz="4" w:space="3"/>
      </w:pBdr>
      <w:shd w:val="solid" w:color="B8CCE4" w:themeColor="accent1" w:themeTint="66" w:fill="B8CCE4" w:themeFill="accent1" w:themeFillTint="66"/>
    </w:pPr>
    <w:rPr>
      <w:rFonts w:ascii="Courier" w:hAnsi="Courier"/>
      <w:sz w:val="18"/>
    </w:rPr>
  </w:style>
  <w:style w:type="character" w:customStyle="1" w:styleId="309">
    <w:name w:val="Courier"/>
    <w:qFormat/>
    <w:uiPriority w:val="1"/>
    <w:rPr>
      <w:rFonts w:ascii="Courier" w:hAnsi="Courier"/>
      <w:sz w:val="18"/>
      <w:shd w:val="clear" w:color="FFFF00" w:fill="auto"/>
    </w:rPr>
  </w:style>
  <w:style w:type="paragraph" w:customStyle="1" w:styleId="310">
    <w:name w:val="Courier shaded"/>
    <w:next w:val="2"/>
    <w:qFormat/>
    <w:uiPriority w:val="0"/>
    <w:pPr>
      <w:shd w:val="clear" w:color="auto" w:fill="D8D8D8" w:themeFill="background1" w:themeFillShade="D9"/>
      <w:spacing w:after="200" w:line="276" w:lineRule="auto"/>
    </w:pPr>
    <w:rPr>
      <w:rFonts w:ascii="Courier" w:hAnsi="Courier" w:eastAsiaTheme="minorHAnsi" w:cstheme="majorBidi"/>
      <w:sz w:val="18"/>
      <w:szCs w:val="22"/>
      <w:lang w:val="en-GB" w:eastAsia="zh-TW" w:bidi="ar-SA"/>
    </w:rPr>
  </w:style>
  <w:style w:type="paragraph" w:customStyle="1" w:styleId="311">
    <w:name w:val="Courire NO space"/>
    <w:basedOn w:val="305"/>
    <w:qFormat/>
    <w:uiPriority w:val="1"/>
    <w:pPr>
      <w:spacing w:after="0"/>
    </w:pPr>
  </w:style>
  <w:style w:type="paragraph" w:customStyle="1" w:styleId="312">
    <w:name w:val="Quote semi bold"/>
    <w:basedOn w:val="146"/>
    <w:qFormat/>
    <w:uiPriority w:val="0"/>
    <w:pPr>
      <w:tabs>
        <w:tab w:val="clear" w:pos="1740"/>
      </w:tabs>
      <w:ind w:left="1963" w:right="0" w:hanging="840"/>
    </w:pPr>
    <w:rPr>
      <w:sz w:val="20"/>
    </w:rPr>
  </w:style>
  <w:style w:type="character" w:customStyle="1" w:styleId="313">
    <w:name w:val="No Break"/>
    <w:qFormat/>
    <w:uiPriority w:val="0"/>
    <w:rPr>
      <w:color w:val="606060"/>
      <w:lang w:val="en-GB"/>
    </w:rPr>
  </w:style>
  <w:style w:type="paragraph" w:customStyle="1" w:styleId="314">
    <w:name w:val="Heading_2 NO indent"/>
    <w:basedOn w:val="1"/>
    <w:qFormat/>
    <w:uiPriority w:val="0"/>
  </w:style>
  <w:style w:type="paragraph" w:customStyle="1" w:styleId="315">
    <w:name w:val="Courier indent NO space after"/>
    <w:basedOn w:val="1"/>
    <w:qFormat/>
    <w:uiPriority w:val="0"/>
  </w:style>
  <w:style w:type="character" w:customStyle="1" w:styleId="316">
    <w:name w:val="Courier character"/>
    <w:qFormat/>
    <w:uiPriority w:val="0"/>
  </w:style>
  <w:style w:type="character" w:customStyle="1" w:styleId="317">
    <w:name w:val="Letter lower case"/>
    <w:qFormat/>
    <w:uiPriority w:val="0"/>
  </w:style>
  <w:style w:type="paragraph" w:styleId="318">
    <w:name w:val="List Paragraph"/>
    <w:basedOn w:val="1"/>
    <w:link w:val="365"/>
    <w:qFormat/>
    <w:uiPriority w:val="34"/>
    <w:pPr>
      <w:spacing w:after="160" w:line="259" w:lineRule="auto"/>
      <w:ind w:left="720"/>
    </w:pPr>
    <w:rPr>
      <w:rFonts w:ascii="Arial" w:hAnsi="Arial" w:eastAsia="宋体" w:cs="Times New Roman"/>
      <w:sz w:val="22"/>
      <w:szCs w:val="22"/>
      <w:lang w:val="fr-CH"/>
    </w:rPr>
  </w:style>
  <w:style w:type="paragraph" w:customStyle="1" w:styleId="319">
    <w:name w:val="Default"/>
    <w:qFormat/>
    <w:uiPriority w:val="0"/>
    <w:pPr>
      <w:autoSpaceDE w:val="0"/>
      <w:autoSpaceDN w:val="0"/>
      <w:adjustRightInd w:val="0"/>
    </w:pPr>
    <w:rPr>
      <w:rFonts w:ascii="Arial" w:hAnsi="Arial" w:cs="Arial" w:eastAsiaTheme="minorEastAsia"/>
      <w:color w:val="000000"/>
      <w:sz w:val="24"/>
      <w:szCs w:val="24"/>
      <w:lang w:val="en-GB" w:eastAsia="en-US" w:bidi="ar-SA"/>
    </w:rPr>
  </w:style>
  <w:style w:type="paragraph" w:customStyle="1" w:styleId="320">
    <w:name w:val="TOC 标题1"/>
    <w:basedOn w:val="3"/>
    <w:next w:val="1"/>
    <w:unhideWhenUsed/>
    <w:qFormat/>
    <w:uiPriority w:val="39"/>
    <w:pPr>
      <w:spacing w:after="160" w:line="259" w:lineRule="auto"/>
      <w:outlineLvl w:val="9"/>
    </w:pPr>
    <w:rPr>
      <w:rFonts w:cstheme="minorBidi"/>
      <w:caps/>
      <w:lang w:val="en-US" w:eastAsia="ja-JP"/>
    </w:rPr>
  </w:style>
  <w:style w:type="character" w:customStyle="1" w:styleId="321">
    <w:name w:val="纯文本 字符"/>
    <w:basedOn w:val="36"/>
    <w:link w:val="19"/>
    <w:semiHidden/>
    <w:qFormat/>
    <w:uiPriority w:val="99"/>
    <w:rPr>
      <w:rFonts w:ascii="Calibri" w:hAnsi="Calibri" w:eastAsiaTheme="minorHAnsi" w:cstheme="minorBidi"/>
      <w:sz w:val="22"/>
      <w:szCs w:val="21"/>
      <w:lang w:val="en-CA" w:eastAsia="en-US"/>
    </w:rPr>
  </w:style>
  <w:style w:type="character" w:customStyle="1" w:styleId="322">
    <w:name w:val="st1"/>
    <w:basedOn w:val="36"/>
    <w:qFormat/>
    <w:uiPriority w:val="1"/>
  </w:style>
  <w:style w:type="character" w:customStyle="1" w:styleId="323">
    <w:name w:val="Police par défaut"/>
    <w:qFormat/>
    <w:uiPriority w:val="1"/>
  </w:style>
  <w:style w:type="paragraph" w:customStyle="1" w:styleId="324">
    <w:name w:val="Heading"/>
    <w:basedOn w:val="3"/>
    <w:qFormat/>
    <w:uiPriority w:val="1"/>
    <w:pPr>
      <w:spacing w:after="160" w:line="259" w:lineRule="auto"/>
    </w:pPr>
    <w:rPr>
      <w:rFonts w:cstheme="minorBidi"/>
      <w:caps/>
      <w:lang w:eastAsia="en-US"/>
    </w:rPr>
  </w:style>
  <w:style w:type="paragraph" w:customStyle="1" w:styleId="325">
    <w:name w:val="Pa3"/>
    <w:basedOn w:val="319"/>
    <w:next w:val="319"/>
    <w:qFormat/>
    <w:uiPriority w:val="99"/>
    <w:pPr>
      <w:spacing w:line="191" w:lineRule="atLeast"/>
    </w:pPr>
    <w:rPr>
      <w:rFonts w:ascii="Stone Sans ITC" w:hAnsi="Stone Sans ITC" w:cstheme="minorBidi"/>
      <w:color w:val="auto"/>
    </w:rPr>
  </w:style>
  <w:style w:type="paragraph" w:customStyle="1" w:styleId="326">
    <w:name w:val="m_4480664885252739091msolistparagraph"/>
    <w:basedOn w:val="1"/>
    <w:qFormat/>
    <w:uiPriority w:val="1"/>
    <w:pPr>
      <w:spacing w:before="100" w:beforeAutospacing="1" w:after="100" w:afterAutospacing="1" w:line="259" w:lineRule="auto"/>
    </w:pPr>
    <w:rPr>
      <w:rFonts w:ascii="Times New Roman" w:hAnsi="Times New Roman" w:eastAsia="Times New Roman" w:cs="Times New Roman"/>
      <w:sz w:val="24"/>
      <w:szCs w:val="24"/>
    </w:rPr>
  </w:style>
  <w:style w:type="paragraph" w:customStyle="1" w:styleId="327">
    <w:name w:val="Chapter head AnxRef"/>
    <w:basedOn w:val="106"/>
    <w:qFormat/>
    <w:uiPriority w:val="0"/>
  </w:style>
  <w:style w:type="paragraph" w:customStyle="1" w:styleId="328">
    <w:name w:val="Chapter head AnxRef NO ToC"/>
    <w:basedOn w:val="198"/>
    <w:qFormat/>
    <w:uiPriority w:val="0"/>
  </w:style>
  <w:style w:type="paragraph" w:customStyle="1" w:styleId="329">
    <w:name w:val="Heading_2 NO Toc NO indent"/>
    <w:basedOn w:val="1"/>
    <w:qFormat/>
    <w:uiPriority w:val="0"/>
  </w:style>
  <w:style w:type="paragraph" w:customStyle="1" w:styleId="330">
    <w:name w:val="TOC 0 AnxRef"/>
    <w:basedOn w:val="1"/>
    <w:qFormat/>
    <w:uiPriority w:val="1"/>
  </w:style>
  <w:style w:type="paragraph" w:customStyle="1" w:styleId="331">
    <w:name w:val="Heading_6"/>
    <w:basedOn w:val="120"/>
    <w:qFormat/>
    <w:uiPriority w:val="0"/>
    <w:rPr>
      <w:b w:val="0"/>
    </w:rPr>
  </w:style>
  <w:style w:type="paragraph" w:customStyle="1" w:styleId="332">
    <w:name w:val="Table body on grid"/>
    <w:basedOn w:val="171"/>
    <w:qFormat/>
    <w:uiPriority w:val="0"/>
  </w:style>
  <w:style w:type="character" w:customStyle="1" w:styleId="333">
    <w:name w:val="TPS Click Field"/>
    <w:qFormat/>
    <w:uiPriority w:val="1"/>
    <w:rPr>
      <w:rFonts w:ascii="Arial" w:hAnsi="Arial" w:eastAsia="Times New Roman" w:cs="Times New Roman"/>
      <w:i/>
      <w:color w:val="0000FF"/>
      <w:sz w:val="18"/>
      <w:szCs w:val="24"/>
      <w:lang w:val="en-AU" w:eastAsia="en-US"/>
    </w:rPr>
  </w:style>
  <w:style w:type="table" w:customStyle="1" w:styleId="334">
    <w:name w:val="Table Grid11"/>
    <w:basedOn w:val="33"/>
    <w:qFormat/>
    <w:uiPriority w:val="39"/>
    <w:rPr>
      <w:rFonts w:eastAsia="Times New Roman"/>
      <w:lang w:val="de-DE"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5">
    <w:name w:val="Pa20"/>
    <w:basedOn w:val="319"/>
    <w:next w:val="319"/>
    <w:qFormat/>
    <w:uiPriority w:val="99"/>
    <w:pPr>
      <w:spacing w:line="201" w:lineRule="atLeast"/>
    </w:pPr>
    <w:rPr>
      <w:rFonts w:ascii="Stone Sans ITC" w:hAnsi="Stone Sans ITC" w:cstheme="minorBidi"/>
      <w:color w:val="auto"/>
    </w:rPr>
  </w:style>
  <w:style w:type="paragraph" w:customStyle="1" w:styleId="336">
    <w:name w:val="修订1"/>
    <w:hidden/>
    <w:semiHidden/>
    <w:qFormat/>
    <w:uiPriority w:val="99"/>
    <w:rPr>
      <w:rFonts w:ascii="Verdana" w:hAnsi="Verdana" w:eastAsia="Arial" w:cs="Arial"/>
      <w:lang w:val="en-GB" w:eastAsia="en-US" w:bidi="ar-SA"/>
    </w:rPr>
  </w:style>
  <w:style w:type="paragraph" w:customStyle="1" w:styleId="337">
    <w:name w:val="Signed"/>
    <w:basedOn w:val="1"/>
    <w:qFormat/>
    <w:uiPriority w:val="1"/>
    <w:pPr>
      <w:spacing w:after="960"/>
      <w:ind w:left="4820"/>
      <w:jc w:val="center"/>
    </w:pPr>
    <w:rPr>
      <w:rFonts w:eastAsiaTheme="minorEastAsia" w:cstheme="minorBidi"/>
      <w:szCs w:val="22"/>
      <w:lang w:eastAsia="zh-CN"/>
    </w:rPr>
  </w:style>
  <w:style w:type="character" w:customStyle="1" w:styleId="338">
    <w:name w:val="normaltextrun"/>
    <w:basedOn w:val="36"/>
    <w:qFormat/>
    <w:uiPriority w:val="0"/>
  </w:style>
  <w:style w:type="paragraph" w:customStyle="1" w:styleId="339">
    <w:name w:val="Hayperlink"/>
    <w:basedOn w:val="2"/>
    <w:qFormat/>
    <w:uiPriority w:val="1"/>
  </w:style>
  <w:style w:type="paragraph" w:customStyle="1" w:styleId="340">
    <w:name w:val="Chapter head for TOC keep with next"/>
    <w:basedOn w:val="1"/>
    <w:qFormat/>
    <w:uiPriority w:val="0"/>
  </w:style>
  <w:style w:type="paragraph" w:customStyle="1" w:styleId="341">
    <w:name w:val="Heading_2 keep with next"/>
    <w:basedOn w:val="1"/>
    <w:qFormat/>
    <w:uiPriority w:val="1"/>
  </w:style>
  <w:style w:type="character" w:customStyle="1" w:styleId="342">
    <w:name w:val="尾注文本 字符"/>
    <w:basedOn w:val="36"/>
    <w:link w:val="20"/>
    <w:qFormat/>
    <w:uiPriority w:val="0"/>
    <w:rPr>
      <w:rFonts w:ascii="Verdana" w:hAnsi="Verdana" w:eastAsiaTheme="minorHAnsi" w:cstheme="majorBidi"/>
      <w:color w:val="000000" w:themeColor="text1"/>
      <w:lang w:val="fr-FR"/>
      <w14:textFill>
        <w14:solidFill>
          <w14:schemeClr w14:val="tx1"/>
        </w14:solidFill>
      </w14:textFill>
    </w:rPr>
  </w:style>
  <w:style w:type="paragraph" w:customStyle="1" w:styleId="343">
    <w:name w:val="References keep with next"/>
    <w:basedOn w:val="149"/>
    <w:qFormat/>
    <w:uiPriority w:val="0"/>
    <w:pPr>
      <w:keepNext/>
      <w:ind w:left="958" w:hanging="958"/>
    </w:pPr>
  </w:style>
  <w:style w:type="paragraph" w:customStyle="1" w:styleId="344">
    <w:name w:val="Table source"/>
    <w:basedOn w:val="171"/>
    <w:qFormat/>
    <w:uiPriority w:val="0"/>
    <w:pPr>
      <w:ind w:left="340"/>
    </w:pPr>
    <w:rPr>
      <w:spacing w:val="0"/>
      <w:sz w:val="16"/>
    </w:rPr>
  </w:style>
  <w:style w:type="character" w:customStyle="1" w:styleId="345">
    <w:name w:val="Space Thin (numbers)"/>
    <w:qFormat/>
    <w:uiPriority w:val="0"/>
  </w:style>
  <w:style w:type="character" w:customStyle="1" w:styleId="346">
    <w:name w:val="Serif bold"/>
    <w:qFormat/>
    <w:uiPriority w:val="0"/>
  </w:style>
  <w:style w:type="character" w:customStyle="1" w:styleId="347">
    <w:name w:val="Serif semi bold"/>
    <w:qFormat/>
    <w:uiPriority w:val="0"/>
    <w:rPr>
      <w:rFonts w:ascii="Verdana" w:hAnsi="Verdana"/>
      <w:sz w:val="20"/>
      <w:shd w:val="clear" w:color="auto" w:fill="auto"/>
      <w:lang w:val="fr-FR"/>
    </w:rPr>
  </w:style>
  <w:style w:type="character" w:customStyle="1" w:styleId="348">
    <w:name w:val="Serif bold italic"/>
    <w:qFormat/>
    <w:uiPriority w:val="0"/>
  </w:style>
  <w:style w:type="character" w:customStyle="1" w:styleId="349">
    <w:name w:val="Stix bold"/>
    <w:qFormat/>
    <w:uiPriority w:val="0"/>
  </w:style>
  <w:style w:type="character" w:customStyle="1" w:styleId="350">
    <w:name w:val="Stix bold italic"/>
    <w:qFormat/>
    <w:uiPriority w:val="0"/>
  </w:style>
  <w:style w:type="character" w:customStyle="1" w:styleId="351">
    <w:name w:val="OSCAR Highlight green"/>
    <w:qFormat/>
    <w:uiPriority w:val="0"/>
    <w:rPr>
      <w:shd w:val="solid" w:color="66FF19" w:fill="66FF19"/>
    </w:rPr>
  </w:style>
  <w:style w:type="character" w:customStyle="1" w:styleId="352">
    <w:name w:val="OSCAR Highlight blue"/>
    <w:qFormat/>
    <w:uiPriority w:val="0"/>
    <w:rPr>
      <w:shd w:val="solid" w:color="0099FF" w:fill="0099FF"/>
    </w:rPr>
  </w:style>
  <w:style w:type="character" w:customStyle="1" w:styleId="353">
    <w:name w:val="OSCAR Highlight blue dark"/>
    <w:qFormat/>
    <w:uiPriority w:val="0"/>
    <w:rPr>
      <w:color w:val="FFFFFF" w:themeColor="background1"/>
      <w:shd w:val="solid" w:color="003380" w:fill="003380"/>
      <w14:textFill>
        <w14:solidFill>
          <w14:schemeClr w14:val="bg1"/>
        </w14:solidFill>
      </w14:textFill>
    </w:rPr>
  </w:style>
  <w:style w:type="character" w:customStyle="1" w:styleId="354">
    <w:name w:val="OSCAR Highlight blue 255"/>
    <w:qFormat/>
    <w:uiPriority w:val="0"/>
    <w:rPr>
      <w:color w:val="FFFFFF" w:themeColor="background1"/>
      <w:shd w:val="solid" w:color="0000FF" w:fill="0000FF"/>
      <w14:textFill>
        <w14:solidFill>
          <w14:schemeClr w14:val="bg1"/>
        </w14:solidFill>
      </w14:textFill>
    </w:rPr>
  </w:style>
  <w:style w:type="character" w:customStyle="1" w:styleId="355">
    <w:name w:val="OSCAR Highlight green dark"/>
    <w:qFormat/>
    <w:uiPriority w:val="0"/>
    <w:rPr>
      <w:color w:val="FFFFFF" w:themeColor="background1"/>
      <w:shd w:val="solid" w:color="00991F" w:fill="00991F"/>
      <w14:textFill>
        <w14:solidFill>
          <w14:schemeClr w14:val="bg1"/>
        </w14:solidFill>
      </w14:textFill>
    </w:rPr>
  </w:style>
  <w:style w:type="character" w:customStyle="1" w:styleId="356">
    <w:name w:val="OSCAR Highlight orange"/>
    <w:qFormat/>
    <w:uiPriority w:val="0"/>
    <w:rPr>
      <w:shd w:val="solid" w:color="FF9900" w:fill="FF9900"/>
    </w:rPr>
  </w:style>
  <w:style w:type="character" w:customStyle="1" w:styleId="357">
    <w:name w:val="OSCAR Highlight bordeau"/>
    <w:qFormat/>
    <w:uiPriority w:val="0"/>
    <w:rPr>
      <w:color w:val="FFFFFF" w:themeColor="background1"/>
      <w:shd w:val="solid" w:color="CC0047" w:fill="CC0047"/>
      <w14:textFill>
        <w14:solidFill>
          <w14:schemeClr w14:val="bg1"/>
        </w14:solidFill>
      </w14:textFill>
    </w:rPr>
  </w:style>
  <w:style w:type="character" w:customStyle="1" w:styleId="358">
    <w:name w:val="OSCAR Highlight red"/>
    <w:qFormat/>
    <w:uiPriority w:val="0"/>
    <w:rPr>
      <w:color w:val="FFFFFF" w:themeColor="background1"/>
      <w:shd w:val="solid" w:color="FF0300" w:fill="FF0300"/>
      <w14:textFill>
        <w14:solidFill>
          <w14:schemeClr w14:val="bg1"/>
        </w14:solidFill>
      </w14:textFill>
    </w:rPr>
  </w:style>
  <w:style w:type="character" w:customStyle="1" w:styleId="359">
    <w:name w:val="OSCAR Highlight grey"/>
    <w:qFormat/>
    <w:uiPriority w:val="0"/>
    <w:rPr>
      <w:color w:val="FFFFFF" w:themeColor="background1"/>
      <w:shd w:val="solid" w:color="A5A5A5" w:themeColor="background1" w:themeShade="A6" w:fill="A5A5A5" w:themeFill="background1" w:themeFillShade="A6"/>
      <w14:textFill>
        <w14:solidFill>
          <w14:schemeClr w14:val="bg1"/>
        </w14:solidFill>
      </w14:textFill>
    </w:rPr>
  </w:style>
  <w:style w:type="character" w:customStyle="1" w:styleId="360">
    <w:name w:val="Color Red"/>
    <w:qFormat/>
    <w:uiPriority w:val="0"/>
    <w:rPr>
      <w:rFonts w:ascii="Verdana" w:hAnsi="Verdana"/>
      <w:color w:val="FF0000"/>
      <w:sz w:val="20"/>
      <w:shd w:val="clear" w:color="auto" w:fill="auto"/>
      <w:lang w:val="fr-FR"/>
    </w:rPr>
  </w:style>
  <w:style w:type="character" w:customStyle="1" w:styleId="361">
    <w:name w:val="Space En"/>
    <w:qFormat/>
    <w:uiPriority w:val="1"/>
  </w:style>
  <w:style w:type="character" w:customStyle="1" w:styleId="362">
    <w:name w:val="TPS Meta End"/>
    <w:qFormat/>
    <w:uiPriority w:val="1"/>
    <w:rPr>
      <w:rFonts w:ascii="Arial" w:hAnsi="Arial" w:eastAsia="Times New Roman" w:cs="Times New Roman"/>
      <w:b/>
      <w:color w:val="2F275B"/>
      <w:sz w:val="18"/>
      <w:szCs w:val="24"/>
      <w:shd w:val="clear" w:color="auto" w:fill="95B3D7" w:themeFill="accent1" w:themeFillTint="99"/>
      <w:lang w:val="en-US" w:eastAsia="en-US"/>
    </w:rPr>
  </w:style>
  <w:style w:type="paragraph" w:customStyle="1" w:styleId="363">
    <w:name w:val="Heading_1 for TOC keep with next"/>
    <w:basedOn w:val="1"/>
    <w:qFormat/>
    <w:uiPriority w:val="0"/>
  </w:style>
  <w:style w:type="paragraph" w:customStyle="1" w:styleId="364">
    <w:name w:val="Heading_2 for TOC keep with next"/>
    <w:basedOn w:val="1"/>
    <w:qFormat/>
    <w:uiPriority w:val="0"/>
  </w:style>
  <w:style w:type="character" w:customStyle="1" w:styleId="365">
    <w:name w:val="列表段落 字符"/>
    <w:basedOn w:val="36"/>
    <w:link w:val="318"/>
    <w:qFormat/>
    <w:uiPriority w:val="34"/>
    <w:rPr>
      <w:rFonts w:ascii="Arial" w:hAnsi="Arial" w:eastAsia="宋体"/>
      <w:color w:val="000000" w:themeColor="text1"/>
      <w:sz w:val="22"/>
      <w:szCs w:val="22"/>
      <w:lang w:val="fr-CH"/>
      <w14:textFill>
        <w14:solidFill>
          <w14:schemeClr w14:val="tx1"/>
        </w14:solidFill>
      </w14:textFill>
    </w:rPr>
  </w:style>
  <w:style w:type="character" w:customStyle="1" w:styleId="366">
    <w:name w:val="superscript"/>
    <w:basedOn w:val="36"/>
    <w:qFormat/>
    <w:uiPriority w:val="0"/>
  </w:style>
  <w:style w:type="character" w:customStyle="1" w:styleId="367">
    <w:name w:val="eop"/>
    <w:basedOn w:val="36"/>
    <w:qFormat/>
    <w:uiPriority w:val="0"/>
  </w:style>
  <w:style w:type="table" w:customStyle="1" w:styleId="368">
    <w:name w:val="Table Grid1"/>
    <w:basedOn w:val="33"/>
    <w:qFormat/>
    <w:uiPriority w:val="59"/>
    <w:rPr>
      <w:rFonts w:asciiTheme="minorHAnsi" w:hAnsiTheme="minorHAnsi" w:eastAsiaTheme="minorHAnsi" w:cstheme="minorBid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369">
    <w:name w:val="x_x_contentpasted0"/>
    <w:basedOn w:val="36"/>
    <w:qFormat/>
    <w:uiPriority w:val="0"/>
  </w:style>
  <w:style w:type="character" w:customStyle="1" w:styleId="370">
    <w:name w:val="x_x_contentpasted1"/>
    <w:basedOn w:val="36"/>
    <w:qFormat/>
    <w:uiPriority w:val="0"/>
  </w:style>
  <w:style w:type="paragraph" w:customStyle="1" w:styleId="371">
    <w:name w:val="x_msonormal"/>
    <w:basedOn w:val="1"/>
    <w:qFormat/>
    <w:uiPriority w:val="0"/>
    <w:pPr>
      <w:spacing w:before="100" w:beforeAutospacing="1" w:after="100" w:afterAutospacing="1"/>
    </w:pPr>
    <w:rPr>
      <w:rFonts w:ascii="Times New Roman" w:hAnsi="Times New Roman" w:eastAsia="Times New Roman" w:cs="Times New Roman"/>
      <w:color w:val="auto"/>
      <w:sz w:val="24"/>
      <w:szCs w:val="24"/>
    </w:rPr>
  </w:style>
  <w:style w:type="character" w:customStyle="1" w:styleId="372">
    <w:name w:val="x_contentpasted0"/>
    <w:basedOn w:val="36"/>
    <w:qFormat/>
    <w:uiPriority w:val="0"/>
  </w:style>
  <w:style w:type="character" w:customStyle="1" w:styleId="373">
    <w:name w:val="题注 字符"/>
    <w:basedOn w:val="36"/>
    <w:link w:val="13"/>
    <w:qFormat/>
    <w:uiPriority w:val="0"/>
    <w:rPr>
      <w:rFonts w:asciiTheme="minorHAnsi" w:hAnsiTheme="minorHAnsi" w:eastAsiaTheme="minorHAnsi" w:cstheme="majorBidi"/>
      <w:b/>
      <w:bCs/>
      <w:color w:val="4F81BD" w:themeColor="accent1"/>
      <w:sz w:val="18"/>
      <w:szCs w:val="18"/>
      <w:lang w:val="en-CA" w:eastAsia="en-CA"/>
      <w14:textFill>
        <w14:solidFill>
          <w14:schemeClr w14:val="accent1"/>
        </w14:solidFill>
      </w14:textFill>
    </w:rPr>
  </w:style>
  <w:style w:type="character" w:customStyle="1" w:styleId="374">
    <w:name w:val="findhit"/>
    <w:basedOn w:val="36"/>
    <w:qFormat/>
    <w:uiPriority w:val="0"/>
  </w:style>
  <w:style w:type="character" w:customStyle="1" w:styleId="375">
    <w:name w:val="Unresolved Mention"/>
    <w:basedOn w:val="36"/>
    <w:semiHidden/>
    <w:unhideWhenUsed/>
    <w:qFormat/>
    <w:uiPriority w:val="99"/>
    <w:rPr>
      <w:color w:val="605E5C"/>
      <w:shd w:val="clear" w:color="auto" w:fill="E1DFDD"/>
    </w:rPr>
  </w:style>
  <w:style w:type="paragraph" w:customStyle="1" w:styleId="376">
    <w:name w:val="Revision"/>
    <w:hidden/>
    <w:semiHidden/>
    <w:qFormat/>
    <w:uiPriority w:val="99"/>
    <w:rPr>
      <w:rFonts w:ascii="Verdana" w:hAnsi="Verdana" w:eastAsiaTheme="minorHAnsi" w:cstheme="majorBidi"/>
      <w:color w:val="000000" w:themeColor="text1"/>
      <w:lang w:val="en-GB" w:eastAsia="zh-TW" w:bidi="ar-SA"/>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5.xml"/><Relationship Id="rId26" Type="http://schemas.openxmlformats.org/officeDocument/2006/relationships/customXml" Target="../customXml/item4.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dorenkova\OneDrive%20-%20WMO\Desktop\Templates\TEMPLATE_Manuals_Guid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100"/>
    <customShpInfo spid="_x0000_s4101"/>
    <customShpInfo spid="_x0000_s4102"/>
    <customShpInfo spid="_x0000_s4103"/>
    <customShpInfo spid="_x0000_s1026"/>
    <customShpInfo spid="_x0000_s4104"/>
    <customShpInfo spid="_x0000_s4097"/>
  </customShpExts>
</s:customData>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12031C0A84A146B770B3064047A6CC" ma:contentTypeVersion="" ma:contentTypeDescription="Create a new document." ma:contentTypeScope="" ma:versionID="3154fd2da4f837e027e75f734b0d2a48">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779C3F-48C5-4B41-B139-72EA319A2965}">
  <ds:schemaRefs/>
</ds:datastoreItem>
</file>

<file path=customXml/itemProps3.xml><?xml version="1.0" encoding="utf-8"?>
<ds:datastoreItem xmlns:ds="http://schemas.openxmlformats.org/officeDocument/2006/customXml" ds:itemID="{5432234C-5CCD-427B-9F04-E3D95844D5AA}"/>
</file>

<file path=customXml/itemProps4.xml><?xml version="1.0" encoding="utf-8"?>
<ds:datastoreItem xmlns:ds="http://schemas.openxmlformats.org/officeDocument/2006/customXml" ds:itemID="{A2867A69-C105-42ED-9932-FF0311B5C2F4}">
  <ds:schemaRefs/>
</ds:datastoreItem>
</file>

<file path=customXml/itemProps5.xml><?xml version="1.0" encoding="utf-8"?>
<ds:datastoreItem xmlns:ds="http://schemas.openxmlformats.org/officeDocument/2006/customXml" ds:itemID="{D37FD990-5792-40A7-AF4E-277856265EA6}">
  <ds:schemaRefs/>
</ds:datastoreItem>
</file>

<file path=docProps/app.xml><?xml version="1.0" encoding="utf-8"?>
<Properties xmlns="http://schemas.openxmlformats.org/officeDocument/2006/extended-properties" xmlns:vt="http://schemas.openxmlformats.org/officeDocument/2006/docPropsVTypes">
  <Template>TEMPLATE_Manuals_Guides</Template>
  <Company>WMO</Company>
  <Pages>30</Pages>
  <Words>17815</Words>
  <Characters>21656</Characters>
  <Lines>216</Lines>
  <Paragraphs>60</Paragraphs>
  <TotalTime>52</TotalTime>
  <ScaleCrop>false</ScaleCrop>
  <LinksUpToDate>false</LinksUpToDate>
  <CharactersWithSpaces>21958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IZahumensky@wmo.int</dc:creator>
  <cp:lastModifiedBy>Rachel</cp:lastModifiedBy>
  <cp:revision>8</cp:revision>
  <cp:lastPrinted>2023-02-16T02:11:00Z</cp:lastPrinted>
  <dcterms:created xsi:type="dcterms:W3CDTF">2023-02-16T14:47:00Z</dcterms:created>
  <dcterms:modified xsi:type="dcterms:W3CDTF">2023-02-17T01:09:49Z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0x010100F512031C0A84A146B770B3064047A6CC</vt:lpwstr>
  </property>
  <property fmtid="{D5CDD505-2E9C-101B-9397-08002B2CF9AE}" pid="3" name="MediaServiceImageTags">
    <vt:lpwstr/>
  </property>
  <property fmtid="{D5CDD505-2E9C-101B-9397-08002B2CF9AE}" pid="4" name="GrammarlyDocumentId">
    <vt:lpwstr>4070df811a50f88e270435312a382f9864ee872a6fc9eb0291cb9da08bd6efde</vt:lpwstr>
  </property>
  <property fmtid="{D5CDD505-2E9C-101B-9397-08002B2CF9AE}" pid="5" name="KSOProductBuildVer">
    <vt:lpwstr>2052-11.1.0.13703</vt:lpwstr>
  </property>
  <property fmtid="{D5CDD505-2E9C-101B-9397-08002B2CF9AE}" pid="6" name="ICV">
    <vt:lpwstr>88B4DB207B5D4D72989A5F9F6B35736F</vt:lpwstr>
  </property>
</Properties>
</file>